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before="60"/>
      </w:pPr>
      <w:r>
        <w:rPr>
          <w:rFonts w:ascii="Arial" w:cs="Arial" w:eastAsia="Arial" w:hAnsi="Arial"/>
          <w:b/>
          <w:bCs/>
          <w:color w:val="C49A3C"/>
          <w:spacing w:val="30"/>
          <w:sz w:val="17"/>
          <w:szCs w:val="17"/>
        </w:rPr>
        <w:t xml:space="preserve">EMPLOYER RESPONSE PACKET  |  JURISDICTION: TEXAS  |  VERSION 2026.1</w:t>
      </w:r>
    </w:p>
    <w:p>
      <w:pPr>
        <w:spacing w:after="120"/>
      </w:pPr>
      <w:r>
        <w:rPr>
          <w:rFonts w:ascii="Arial" w:cs="Arial" w:eastAsia="Arial" w:hAnsi="Arial"/>
          <w:b/>
          <w:bCs/>
          <w:color w:val="1B3A52"/>
          <w:sz w:val="44"/>
          <w:szCs w:val="44"/>
        </w:rPr>
        <w:t xml:space="preserve">Workers' Comp Injury Response + Light Duty Packet</w:t>
      </w:r>
    </w:p>
    <w:p>
      <w:pPr>
        <w:spacing w:after="200" w:line="300"/>
      </w:pPr>
      <w:r>
        <w:rPr>
          <w:rFonts w:ascii="Arial" w:cs="Arial" w:eastAsia="Arial" w:hAnsi="Arial"/>
          <w:i/>
          <w:iCs/>
          <w:color w:val="4A5A6A"/>
          <w:sz w:val="22"/>
          <w:szCs w:val="22"/>
        </w:rPr>
        <w:t xml:space="preserve">From injury report to return-to-work: treatment, restrictions, light-duty offers, and a communication log that protects everyone.</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single" w:color="D8E0E8" w:sz="2"/>
              <w:left w:val="single" w:color="1B3A52" w:sz="24"/>
              <w:bottom w:val="single" w:color="D8E0E8" w:sz="2"/>
              <w:right w:val="single" w:color="D8E0E8" w:sz="2"/>
            </w:tcBorders>
            <w:shd w:fill="F0F4F8" w:val="clear"/>
            <w:tcMar>
              <w:top w:type="dxa" w:w="140"/>
              <w:left w:type="dxa" w:w="180"/>
              <w:bottom w:type="dxa" w:w="140"/>
              <w:right w:type="dxa" w:w="180"/>
            </w:tcMar>
          </w:tcPr>
          <w:p>
            <w:pPr>
              <w:spacing w:after="60"/>
            </w:pPr>
            <w:r>
              <w:rPr>
                <w:rFonts w:ascii="Arial" w:cs="Arial" w:eastAsia="Arial" w:hAnsi="Arial"/>
                <w:b/>
                <w:bCs/>
                <w:color w:val="C49A3C"/>
                <w:spacing w:val="30"/>
                <w:sz w:val="17"/>
                <w:szCs w:val="17"/>
              </w:rPr>
              <w:t xml:space="preserve">WHAT THIS HELPS YOU DO</w:t>
            </w:r>
          </w:p>
          <w:p>
            <w:pPr>
              <w:spacing w:after="0" w:line="300"/>
            </w:pPr>
            <w:r>
              <w:rPr>
                <w:rFonts w:ascii="Arial" w:cs="Arial" w:eastAsia="Arial" w:hAnsi="Arial"/>
                <w:color w:val="22303C"/>
                <w:sz w:val="22"/>
                <w:szCs w:val="22"/>
              </w:rPr>
              <w:t xml:space="preserve">Use this packet from the moment a work injury is reported to manage treatment, restrictions, light-duty offers, and communication — keeping the employee connected to work and the employer clear of retaliation exposure.</w:t>
            </w:r>
          </w:p>
        </w:tc>
      </w:tr>
    </w:tbl>
    <w:p>
      <w:pPr>
        <w:keepNext/>
        <w:pBdr>
          <w:bottom w:val="single" w:color="C49A3C" w:sz="8" w:space="3"/>
        </w:pBdr>
        <w:spacing w:after="140" w:before="320"/>
      </w:pPr>
      <w:r>
        <w:rPr>
          <w:rFonts w:ascii="Arial" w:cs="Arial" w:eastAsia="Arial" w:hAnsi="Arial"/>
          <w:b/>
          <w:bCs/>
          <w:color w:val="1B3A52"/>
          <w:spacing w:val="20"/>
          <w:sz w:val="24"/>
          <w:szCs w:val="24"/>
        </w:rPr>
        <w:t xml:space="preserve">WHEN TO USE THIS DOCUMENT</w:t>
      </w:r>
    </w:p>
    <w:p>
      <w:pPr>
        <w:pStyle w:val="ListParagraph"/>
        <w:numPr>
          <w:ilvl w:val="0"/>
          <w:numId w:val="2"/>
        </w:numPr>
        <w:spacing w:after="80" w:line="288"/>
      </w:pPr>
      <w:r>
        <w:rPr>
          <w:rFonts w:ascii="Arial" w:cs="Arial" w:eastAsia="Arial" w:hAnsi="Arial"/>
          <w:color w:val="22303C"/>
          <w:sz w:val="21"/>
          <w:szCs w:val="21"/>
        </w:rPr>
        <w:t xml:space="preserve">The day any work-related injury or illness is reported</w:t>
      </w:r>
    </w:p>
    <w:p>
      <w:pPr>
        <w:pStyle w:val="ListParagraph"/>
        <w:numPr>
          <w:ilvl w:val="0"/>
          <w:numId w:val="2"/>
        </w:numPr>
        <w:spacing w:after="80" w:line="288"/>
      </w:pPr>
      <w:r>
        <w:rPr>
          <w:rFonts w:ascii="Arial" w:cs="Arial" w:eastAsia="Arial" w:hAnsi="Arial"/>
          <w:color w:val="22303C"/>
          <w:sz w:val="21"/>
          <w:szCs w:val="21"/>
        </w:rPr>
        <w:t xml:space="preserve">When medical restrictions arrive and someone asks 'what do we do with them?'</w:t>
      </w:r>
    </w:p>
    <w:p>
      <w:pPr>
        <w:pStyle w:val="ListParagraph"/>
        <w:numPr>
          <w:ilvl w:val="0"/>
          <w:numId w:val="2"/>
        </w:numPr>
        <w:spacing w:after="80" w:line="288"/>
      </w:pPr>
      <w:r>
        <w:rPr>
          <w:rFonts w:ascii="Arial" w:cs="Arial" w:eastAsia="Arial" w:hAnsi="Arial"/>
          <w:color w:val="22303C"/>
          <w:sz w:val="21"/>
          <w:szCs w:val="21"/>
        </w:rPr>
        <w:t xml:space="preserve">Before offering — or declining to offer — light duty</w:t>
      </w:r>
    </w:p>
    <w:p>
      <w:pPr>
        <w:pStyle w:val="ListParagraph"/>
        <w:numPr>
          <w:ilvl w:val="0"/>
          <w:numId w:val="2"/>
        </w:numPr>
        <w:spacing w:after="80" w:line="288"/>
      </w:pPr>
      <w:r>
        <w:rPr>
          <w:rFonts w:ascii="Arial" w:cs="Arial" w:eastAsia="Arial" w:hAnsi="Arial"/>
          <w:color w:val="22303C"/>
          <w:sz w:val="21"/>
          <w:szCs w:val="21"/>
        </w:rPr>
        <w:t xml:space="preserve">When an injured employee goes quiet, or the employer is tempted to</w:t>
      </w:r>
    </w:p>
    <w:p>
      <w:pPr>
        <w:pStyle w:val="ListParagraph"/>
        <w:numPr>
          <w:ilvl w:val="0"/>
          <w:numId w:val="2"/>
        </w:numPr>
        <w:spacing w:after="80" w:line="288"/>
      </w:pPr>
      <w:r>
        <w:rPr>
          <w:rFonts w:ascii="Arial" w:cs="Arial" w:eastAsia="Arial" w:hAnsi="Arial"/>
          <w:color w:val="22303C"/>
          <w:sz w:val="21"/>
          <w:szCs w:val="21"/>
        </w:rPr>
        <w:t xml:space="preserve">Before any discipline or separation involving an injured worker</w:t>
      </w:r>
    </w:p>
    <w:p>
      <w:pPr>
        <w:keepNext/>
        <w:pBdr>
          <w:bottom w:val="single" w:color="C49A3C" w:sz="8" w:space="3"/>
        </w:pBdr>
        <w:spacing w:after="140" w:before="320"/>
      </w:pPr>
      <w:r>
        <w:rPr>
          <w:rFonts w:ascii="Arial" w:cs="Arial" w:eastAsia="Arial" w:hAnsi="Arial"/>
          <w:b/>
          <w:bCs/>
          <w:color w:val="1B3A52"/>
          <w:spacing w:val="20"/>
          <w:sz w:val="24"/>
          <w:szCs w:val="24"/>
        </w:rPr>
        <w:t xml:space="preserve">WHAT THIS DOCUMENT HELPS PREVENT</w:t>
      </w:r>
    </w:p>
    <w:p>
      <w:pPr>
        <w:pStyle w:val="ListParagraph"/>
        <w:numPr>
          <w:ilvl w:val="0"/>
          <w:numId w:val="2"/>
        </w:numPr>
        <w:spacing w:after="80" w:line="288"/>
      </w:pPr>
      <w:r>
        <w:rPr>
          <w:rFonts w:ascii="Arial" w:cs="Arial" w:eastAsia="Arial" w:hAnsi="Arial"/>
          <w:color w:val="22303C"/>
          <w:sz w:val="21"/>
          <w:szCs w:val="21"/>
        </w:rPr>
        <w:t xml:space="preserve">Workers' comp retaliation claims (Texas Labor Code Chapter 451)</w:t>
      </w:r>
    </w:p>
    <w:p>
      <w:pPr>
        <w:pStyle w:val="ListParagraph"/>
        <w:numPr>
          <w:ilvl w:val="0"/>
          <w:numId w:val="2"/>
        </w:numPr>
        <w:spacing w:after="80" w:line="288"/>
      </w:pPr>
      <w:r>
        <w:rPr>
          <w:rFonts w:ascii="Arial" w:cs="Arial" w:eastAsia="Arial" w:hAnsi="Arial"/>
          <w:color w:val="22303C"/>
          <w:sz w:val="21"/>
          <w:szCs w:val="21"/>
        </w:rPr>
        <w:t xml:space="preserve">Injuries that never got reported to the carrier on time</w:t>
      </w:r>
    </w:p>
    <w:p>
      <w:pPr>
        <w:pStyle w:val="ListParagraph"/>
        <w:numPr>
          <w:ilvl w:val="0"/>
          <w:numId w:val="2"/>
        </w:numPr>
        <w:spacing w:after="80" w:line="288"/>
      </w:pPr>
      <w:r>
        <w:rPr>
          <w:rFonts w:ascii="Arial" w:cs="Arial" w:eastAsia="Arial" w:hAnsi="Arial"/>
          <w:color w:val="22303C"/>
          <w:sz w:val="21"/>
          <w:szCs w:val="21"/>
        </w:rPr>
        <w:t xml:space="preserve">Light-duty offers made verbally, vaguely, or not at all</w:t>
      </w:r>
    </w:p>
    <w:p>
      <w:pPr>
        <w:pStyle w:val="ListParagraph"/>
        <w:numPr>
          <w:ilvl w:val="0"/>
          <w:numId w:val="2"/>
        </w:numPr>
        <w:spacing w:after="80" w:line="288"/>
      </w:pPr>
      <w:r>
        <w:rPr>
          <w:rFonts w:ascii="Arial" w:cs="Arial" w:eastAsia="Arial" w:hAnsi="Arial"/>
          <w:color w:val="22303C"/>
          <w:sz w:val="21"/>
          <w:szCs w:val="21"/>
        </w:rPr>
        <w:t xml:space="preserve">Lost-time claims that grow because no one kept contact</w:t>
      </w:r>
    </w:p>
    <w:p>
      <w:pPr>
        <w:pStyle w:val="ListParagraph"/>
        <w:numPr>
          <w:ilvl w:val="0"/>
          <w:numId w:val="2"/>
        </w:numPr>
        <w:spacing w:after="80" w:line="288"/>
      </w:pPr>
      <w:r>
        <w:rPr>
          <w:rFonts w:ascii="Arial" w:cs="Arial" w:eastAsia="Arial" w:hAnsi="Arial"/>
          <w:color w:val="22303C"/>
          <w:sz w:val="21"/>
          <w:szCs w:val="21"/>
        </w:rPr>
        <w:t xml:space="preserve">Restrictions ignored on the floor because supervisors never saw them</w:t>
      </w:r>
    </w:p>
    <w:p>
      <w:pPr>
        <w:spacing w:after="0" w:before="200"/>
      </w:pPr>
      <w:r>
        <w:rPr>
          <w:rFonts w:ascii="Arial" w:cs="Arial" w:eastAsia="Arial" w:hAnsi="Arial"/>
          <w:color w:val="22303C"/>
          <w:sz w:val="8"/>
          <w:szCs w:val="8"/>
        </w:rPr>
        <w:t xml:space="preserve"> </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single" w:color="D8E0E8" w:sz="2"/>
              <w:left w:val="single" w:color="C49A3C" w:sz="24"/>
              <w:bottom w:val="single" w:color="D8E0E8" w:sz="2"/>
              <w:right w:val="single" w:color="D8E0E8" w:sz="2"/>
            </w:tcBorders>
            <w:shd w:fill="FBF6EC" w:val="clear"/>
            <w:tcMar>
              <w:top w:type="dxa" w:w="140"/>
              <w:left w:type="dxa" w:w="180"/>
              <w:bottom w:type="dxa" w:w="140"/>
              <w:right w:type="dxa" w:w="180"/>
            </w:tcMar>
          </w:tcPr>
          <w:p>
            <w:pPr>
              <w:spacing w:after="0" w:line="300"/>
            </w:pPr>
            <w:r>
              <w:rPr>
                <w:rFonts w:ascii="Arial" w:cs="Arial" w:eastAsia="Arial" w:hAnsi="Arial"/>
                <w:i/>
                <w:iCs/>
                <w:color w:val="1B3A52"/>
                <w:sz w:val="21"/>
                <w:szCs w:val="21"/>
              </w:rPr>
              <w:t xml:space="preserve">Faulkner HR Solutions focuses on the system behind the people problem. This tool is designed to help employers slow down the decision, identify the risk, and create proof before the issue becomes a claim, complaint, turnover event, or credibility problem.</w:t>
            </w:r>
          </w:p>
        </w:tc>
      </w:tr>
    </w:tbl>
    <w:p>
      <w:pPr>
        <w:keepNext/>
        <w:pBdr>
          <w:bottom w:val="single" w:color="C49A3C" w:sz="8" w:space="3"/>
        </w:pBdr>
        <w:spacing w:after="140" w:before="320"/>
      </w:pPr>
      <w:r>
        <w:rPr>
          <w:rFonts w:ascii="Arial" w:cs="Arial" w:eastAsia="Arial" w:hAnsi="Arial"/>
          <w:b/>
          <w:bCs/>
          <w:color w:val="1B3A52"/>
          <w:spacing w:val="20"/>
          <w:sz w:val="24"/>
          <w:szCs w:val="24"/>
        </w:rPr>
        <w:t xml:space="preserve">BEFORE YOU START: READINESS CHECKLIST</w:t>
      </w:r>
    </w:p>
    <w:p>
      <w:pPr>
        <w:spacing w:after="140" w:line="288"/>
      </w:pPr>
      <w:r>
        <w:rPr>
          <w:rFonts w:ascii="Arial" w:cs="Arial" w:eastAsia="Arial" w:hAnsi="Arial"/>
          <w:color w:val="4A5A6A"/>
          <w:sz w:val="20"/>
          <w:szCs w:val="20"/>
        </w:rPr>
        <w:t xml:space="preserve">Gather the following before working through this document. Incomplete inputs are one of the most common reasons employer decisions fail under later scrutiny.</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907"/>
        <w:gridCol w:w="6552"/>
        <w:gridCol w:w="2621"/>
      </w:tblGrid>
      <w:tr>
        <w:trPr>
          <w:tblHeader/>
        </w:trPr>
        <w:tc>
          <w:tcPr>
            <w:tcW w:type="dxa" w:w="907"/>
            <w:tcBorders>
              <w:top w:val="single" w:color="D8E0E8" w:sz="2"/>
              <w:left w:val="single" w:color="D8E0E8" w:sz="2"/>
              <w:bottom w:val="single" w:color="D8E0E8" w:sz="2"/>
              <w:right w:val="single" w:color="D8E0E8" w:sz="2"/>
            </w:tcBorders>
            <w:shd w:fill="1B3A52" w:val="clear"/>
            <w:tcMar>
              <w:top w:type="dxa" w:w="70"/>
              <w:left w:type="dxa" w:w="110"/>
              <w:bottom w:type="dxa" w:w="70"/>
              <w:right w:type="dxa" w:w="110"/>
            </w:tcMar>
            <w:vAlign w:val="top"/>
          </w:tcPr>
          <w:p>
            <w:pPr>
              <w:spacing w:after="0"/>
            </w:pPr>
            <w:r>
              <w:rPr>
                <w:rFonts w:ascii="Arial" w:cs="Arial" w:eastAsia="Arial" w:hAnsi="Arial"/>
                <w:b/>
                <w:bCs/>
                <w:color w:val="FFFFFF"/>
                <w:sz w:val="19"/>
                <w:szCs w:val="19"/>
              </w:rPr>
              <w:t xml:space="preserve">Have it</w:t>
            </w:r>
          </w:p>
        </w:tc>
        <w:tc>
          <w:tcPr>
            <w:tcW w:type="dxa" w:w="6552"/>
            <w:tcBorders>
              <w:top w:val="single" w:color="D8E0E8" w:sz="2"/>
              <w:left w:val="single" w:color="D8E0E8" w:sz="2"/>
              <w:bottom w:val="single" w:color="D8E0E8" w:sz="2"/>
              <w:right w:val="single" w:color="D8E0E8" w:sz="2"/>
            </w:tcBorders>
            <w:shd w:fill="1B3A52" w:val="clear"/>
            <w:tcMar>
              <w:top w:type="dxa" w:w="70"/>
              <w:left w:type="dxa" w:w="110"/>
              <w:bottom w:type="dxa" w:w="70"/>
              <w:right w:type="dxa" w:w="110"/>
            </w:tcMar>
            <w:vAlign w:val="top"/>
          </w:tcPr>
          <w:p>
            <w:pPr>
              <w:spacing w:after="0"/>
            </w:pPr>
            <w:r>
              <w:rPr>
                <w:rFonts w:ascii="Arial" w:cs="Arial" w:eastAsia="Arial" w:hAnsi="Arial"/>
                <w:b/>
                <w:bCs/>
                <w:color w:val="FFFFFF"/>
                <w:sz w:val="19"/>
                <w:szCs w:val="19"/>
              </w:rPr>
              <w:t xml:space="preserve">Input</w:t>
            </w:r>
          </w:p>
        </w:tc>
        <w:tc>
          <w:tcPr>
            <w:tcW w:type="dxa" w:w="2621"/>
            <w:tcBorders>
              <w:top w:val="single" w:color="D8E0E8" w:sz="2"/>
              <w:left w:val="single" w:color="D8E0E8" w:sz="2"/>
              <w:bottom w:val="single" w:color="D8E0E8" w:sz="2"/>
              <w:right w:val="single" w:color="D8E0E8" w:sz="2"/>
            </w:tcBorders>
            <w:shd w:fill="1B3A52" w:val="clear"/>
            <w:tcMar>
              <w:top w:type="dxa" w:w="70"/>
              <w:left w:type="dxa" w:w="110"/>
              <w:bottom w:type="dxa" w:w="70"/>
              <w:right w:type="dxa" w:w="110"/>
            </w:tcMar>
            <w:vAlign w:val="top"/>
          </w:tcPr>
          <w:p>
            <w:pPr>
              <w:spacing w:after="0"/>
            </w:pPr>
            <w:r>
              <w:rPr>
                <w:rFonts w:ascii="Arial" w:cs="Arial" w:eastAsia="Arial" w:hAnsi="Arial"/>
                <w:b/>
                <w:bCs/>
                <w:color w:val="FFFFFF"/>
                <w:sz w:val="19"/>
                <w:szCs w:val="19"/>
              </w:rPr>
              <w:t xml:space="preserve">Notes / location</w:t>
            </w:r>
          </w:p>
        </w:tc>
      </w:tr>
      <w:tr>
        <w:tc>
          <w:tcPr>
            <w:tcW w:type="dxa" w:w="907"/>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jc w:val="center"/>
            </w:pPr>
            <w:r>
              <w:rPr>
                <w:rFonts w:ascii="Arial" w:cs="Arial" w:eastAsia="Arial" w:hAnsi="Arial"/>
                <w:color w:val="4A5A6A"/>
                <w:sz w:val="26"/>
                <w:szCs w:val="26"/>
              </w:rPr>
              <w:t xml:space="preserve">☐</w:t>
            </w:r>
          </w:p>
        </w:tc>
        <w:tc>
          <w:tcPr>
            <w:tcW w:type="dxa" w:w="6552"/>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Employee name and role</w:t>
            </w:r>
          </w:p>
        </w:tc>
        <w:tc>
          <w:tcPr>
            <w:tcW w:type="dxa" w:w="2621"/>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 </w:t>
            </w:r>
          </w:p>
        </w:tc>
      </w:tr>
      <w:tr>
        <w:tc>
          <w:tcPr>
            <w:tcW w:type="dxa" w:w="907"/>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jc w:val="center"/>
            </w:pPr>
            <w:r>
              <w:rPr>
                <w:rFonts w:ascii="Arial" w:cs="Arial" w:eastAsia="Arial" w:hAnsi="Arial"/>
                <w:color w:val="4A5A6A"/>
                <w:sz w:val="26"/>
                <w:szCs w:val="26"/>
              </w:rPr>
              <w:t xml:space="preserve">☐</w:t>
            </w:r>
          </w:p>
        </w:tc>
        <w:tc>
          <w:tcPr>
            <w:tcW w:type="dxa" w:w="6552"/>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Date of incident, request, or separation</w:t>
            </w:r>
          </w:p>
        </w:tc>
        <w:tc>
          <w:tcPr>
            <w:tcW w:type="dxa" w:w="2621"/>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 </w:t>
            </w:r>
          </w:p>
        </w:tc>
      </w:tr>
      <w:tr>
        <w:tc>
          <w:tcPr>
            <w:tcW w:type="dxa" w:w="907"/>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jc w:val="center"/>
            </w:pPr>
            <w:r>
              <w:rPr>
                <w:rFonts w:ascii="Arial" w:cs="Arial" w:eastAsia="Arial" w:hAnsi="Arial"/>
                <w:color w:val="4A5A6A"/>
                <w:sz w:val="26"/>
                <w:szCs w:val="26"/>
              </w:rPr>
              <w:t xml:space="preserve">☐</w:t>
            </w:r>
          </w:p>
        </w:tc>
        <w:tc>
          <w:tcPr>
            <w:tcW w:type="dxa" w:w="6552"/>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Supervisor involved</w:t>
            </w:r>
          </w:p>
        </w:tc>
        <w:tc>
          <w:tcPr>
            <w:tcW w:type="dxa" w:w="2621"/>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 </w:t>
            </w:r>
          </w:p>
        </w:tc>
      </w:tr>
      <w:tr>
        <w:tc>
          <w:tcPr>
            <w:tcW w:type="dxa" w:w="907"/>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jc w:val="center"/>
            </w:pPr>
            <w:r>
              <w:rPr>
                <w:rFonts w:ascii="Arial" w:cs="Arial" w:eastAsia="Arial" w:hAnsi="Arial"/>
                <w:color w:val="4A5A6A"/>
                <w:sz w:val="26"/>
                <w:szCs w:val="26"/>
              </w:rPr>
              <w:t xml:space="preserve">☐</w:t>
            </w:r>
          </w:p>
        </w:tc>
        <w:tc>
          <w:tcPr>
            <w:tcW w:type="dxa" w:w="6552"/>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Policy or handbook section that applies</w:t>
            </w:r>
          </w:p>
        </w:tc>
        <w:tc>
          <w:tcPr>
            <w:tcW w:type="dxa" w:w="2621"/>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 </w:t>
            </w:r>
          </w:p>
        </w:tc>
      </w:tr>
      <w:tr>
        <w:tc>
          <w:tcPr>
            <w:tcW w:type="dxa" w:w="907"/>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jc w:val="center"/>
            </w:pPr>
            <w:r>
              <w:rPr>
                <w:rFonts w:ascii="Arial" w:cs="Arial" w:eastAsia="Arial" w:hAnsi="Arial"/>
                <w:color w:val="4A5A6A"/>
                <w:sz w:val="26"/>
                <w:szCs w:val="26"/>
              </w:rPr>
              <w:t xml:space="preserve">☐</w:t>
            </w:r>
          </w:p>
        </w:tc>
        <w:tc>
          <w:tcPr>
            <w:tcW w:type="dxa" w:w="6552"/>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Prior documentation on file</w:t>
            </w:r>
          </w:p>
        </w:tc>
        <w:tc>
          <w:tcPr>
            <w:tcW w:type="dxa" w:w="2621"/>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 </w:t>
            </w:r>
          </w:p>
        </w:tc>
      </w:tr>
      <w:tr>
        <w:tc>
          <w:tcPr>
            <w:tcW w:type="dxa" w:w="907"/>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jc w:val="center"/>
            </w:pPr>
            <w:r>
              <w:rPr>
                <w:rFonts w:ascii="Arial" w:cs="Arial" w:eastAsia="Arial" w:hAnsi="Arial"/>
                <w:color w:val="4A5A6A"/>
                <w:sz w:val="26"/>
                <w:szCs w:val="26"/>
              </w:rPr>
              <w:t xml:space="preserve">☐</w:t>
            </w:r>
          </w:p>
        </w:tc>
        <w:tc>
          <w:tcPr>
            <w:tcW w:type="dxa" w:w="6552"/>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Pay records, if applicable</w:t>
            </w:r>
          </w:p>
        </w:tc>
        <w:tc>
          <w:tcPr>
            <w:tcW w:type="dxa" w:w="2621"/>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 </w:t>
            </w:r>
          </w:p>
        </w:tc>
      </w:tr>
      <w:tr>
        <w:tc>
          <w:tcPr>
            <w:tcW w:type="dxa" w:w="907"/>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jc w:val="center"/>
            </w:pPr>
            <w:r>
              <w:rPr>
                <w:rFonts w:ascii="Arial" w:cs="Arial" w:eastAsia="Arial" w:hAnsi="Arial"/>
                <w:color w:val="4A5A6A"/>
                <w:sz w:val="26"/>
                <w:szCs w:val="26"/>
              </w:rPr>
              <w:t xml:space="preserve">☐</w:t>
            </w:r>
          </w:p>
        </w:tc>
        <w:tc>
          <w:tcPr>
            <w:tcW w:type="dxa" w:w="6552"/>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Relevant emails, texts, notes, or complaints</w:t>
            </w:r>
          </w:p>
        </w:tc>
        <w:tc>
          <w:tcPr>
            <w:tcW w:type="dxa" w:w="2621"/>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 </w:t>
            </w:r>
          </w:p>
        </w:tc>
      </w:tr>
      <w:tr>
        <w:tc>
          <w:tcPr>
            <w:tcW w:type="dxa" w:w="907"/>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jc w:val="center"/>
            </w:pPr>
            <w:r>
              <w:rPr>
                <w:rFonts w:ascii="Arial" w:cs="Arial" w:eastAsia="Arial" w:hAnsi="Arial"/>
                <w:color w:val="4A5A6A"/>
                <w:sz w:val="26"/>
                <w:szCs w:val="26"/>
              </w:rPr>
              <w:t xml:space="preserve">☐</w:t>
            </w:r>
          </w:p>
        </w:tc>
        <w:tc>
          <w:tcPr>
            <w:tcW w:type="dxa" w:w="6552"/>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Decision-maker name</w:t>
            </w:r>
          </w:p>
        </w:tc>
        <w:tc>
          <w:tcPr>
            <w:tcW w:type="dxa" w:w="2621"/>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 </w:t>
            </w:r>
          </w:p>
        </w:tc>
      </w:tr>
      <w:tr>
        <w:tc>
          <w:tcPr>
            <w:tcW w:type="dxa" w:w="907"/>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jc w:val="center"/>
            </w:pPr>
            <w:r>
              <w:rPr>
                <w:rFonts w:ascii="Arial" w:cs="Arial" w:eastAsia="Arial" w:hAnsi="Arial"/>
                <w:color w:val="4A5A6A"/>
                <w:sz w:val="26"/>
                <w:szCs w:val="26"/>
              </w:rPr>
              <w:t xml:space="preserve">☐</w:t>
            </w:r>
          </w:p>
        </w:tc>
        <w:tc>
          <w:tcPr>
            <w:tcW w:type="dxa" w:w="6552"/>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Deadline, if applicable</w:t>
            </w:r>
          </w:p>
        </w:tc>
        <w:tc>
          <w:tcPr>
            <w:tcW w:type="dxa" w:w="2621"/>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 </w:t>
            </w:r>
          </w:p>
        </w:tc>
      </w:tr>
    </w:tbl>
    <w:p>
      <w:pPr>
        <w:pageBreakBefore/>
        <w:spacing w:after="40"/>
      </w:pPr>
      <w:r>
        <w:rPr>
          <w:rFonts w:ascii="Arial" w:cs="Arial" w:eastAsia="Arial" w:hAnsi="Arial"/>
          <w:color w:val="22303C"/>
          <w:sz w:val="8"/>
          <w:szCs w:val="8"/>
        </w:rPr>
        <w:t xml:space="preserve"> </w:t>
      </w:r>
    </w:p>
    <w:p>
      <w:pPr>
        <w:keepNext/>
        <w:pBdr>
          <w:bottom w:val="single" w:color="C49A3C" w:sz="8" w:space="3"/>
        </w:pBdr>
        <w:spacing w:after="140" w:before="320"/>
      </w:pPr>
      <w:r>
        <w:rPr>
          <w:rFonts w:ascii="Arial" w:cs="Arial" w:eastAsia="Arial" w:hAnsi="Arial"/>
          <w:b/>
          <w:bCs/>
          <w:color w:val="1B3A52"/>
          <w:spacing w:val="20"/>
          <w:sz w:val="24"/>
          <w:szCs w:val="24"/>
        </w:rPr>
        <w:t xml:space="preserve">INJURY RESPONSE PACKET</w:t>
      </w:r>
    </w:p>
    <w:p>
      <w:pPr>
        <w:spacing w:after="160" w:line="288"/>
      </w:pPr>
      <w:r>
        <w:rPr>
          <w:rFonts w:ascii="Arial" w:cs="Arial" w:eastAsia="Arial" w:hAnsi="Arial"/>
          <w:color w:val="4A5A6A"/>
          <w:sz w:val="20"/>
          <w:szCs w:val="20"/>
        </w:rPr>
        <w:t xml:space="preserve">Two goals run in parallel: get the employee proper care and a safe path back to work, and build a clean record of every step. Neither works without the other.</w:t>
      </w:r>
    </w:p>
    <w:p>
      <w:pPr>
        <w:keepNext/>
        <w:spacing w:after="100" w:before="220"/>
      </w:pPr>
      <w:r>
        <w:rPr>
          <w:rFonts w:ascii="Arial" w:cs="Arial" w:eastAsia="Arial" w:hAnsi="Arial"/>
          <w:b/>
          <w:bCs/>
          <w:color w:val="1B3A52"/>
          <w:sz w:val="22"/>
          <w:szCs w:val="22"/>
        </w:rPr>
        <w:t xml:space="preserve">Part 1 — Injury Report</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3427"/>
        <w:gridCol w:w="6653"/>
      </w:tblGrid>
      <w:tr>
        <w:tc>
          <w:tcPr>
            <w:tcW w:type="dxa" w:w="3427"/>
            <w:tcBorders>
              <w:top w:val="single" w:color="D8E0E8" w:sz="2"/>
              <w:left w:val="single" w:color="D8E0E8" w:sz="2"/>
              <w:bottom w:val="single" w:color="D8E0E8" w:sz="2"/>
              <w:right w:val="single" w:color="D8E0E8" w:sz="2"/>
            </w:tcBorders>
            <w:shd w:fill="F0F4F8" w:val="clear"/>
            <w:tcMar>
              <w:top w:type="dxa" w:w="70"/>
              <w:left w:type="dxa" w:w="110"/>
              <w:bottom w:type="dxa" w:w="70"/>
              <w:right w:type="dxa" w:w="110"/>
            </w:tcMar>
            <w:vAlign w:val="top"/>
          </w:tcPr>
          <w:p>
            <w:pPr>
              <w:spacing w:after="0"/>
            </w:pPr>
            <w:r>
              <w:rPr>
                <w:rFonts w:ascii="Arial" w:cs="Arial" w:eastAsia="Arial" w:hAnsi="Arial"/>
                <w:b/>
                <w:bCs/>
                <w:color w:val="1B3A52"/>
                <w:sz w:val="20"/>
                <w:szCs w:val="20"/>
              </w:rPr>
              <w:t xml:space="preserve">Employee name and position</w:t>
            </w:r>
          </w:p>
        </w:tc>
        <w:tc>
          <w:tcPr>
            <w:tcW w:type="dxa" w:w="6653"/>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 </w:t>
            </w:r>
          </w:p>
        </w:tc>
      </w:tr>
      <w:tr>
        <w:tc>
          <w:tcPr>
            <w:tcW w:type="dxa" w:w="3427"/>
            <w:tcBorders>
              <w:top w:val="single" w:color="D8E0E8" w:sz="2"/>
              <w:left w:val="single" w:color="D8E0E8" w:sz="2"/>
              <w:bottom w:val="single" w:color="D8E0E8" w:sz="2"/>
              <w:right w:val="single" w:color="D8E0E8" w:sz="2"/>
            </w:tcBorders>
            <w:shd w:fill="F0F4F8" w:val="clear"/>
            <w:tcMar>
              <w:top w:type="dxa" w:w="70"/>
              <w:left w:type="dxa" w:w="110"/>
              <w:bottom w:type="dxa" w:w="70"/>
              <w:right w:type="dxa" w:w="110"/>
            </w:tcMar>
            <w:vAlign w:val="top"/>
          </w:tcPr>
          <w:p>
            <w:pPr>
              <w:spacing w:after="0"/>
            </w:pPr>
            <w:r>
              <w:rPr>
                <w:rFonts w:ascii="Arial" w:cs="Arial" w:eastAsia="Arial" w:hAnsi="Arial"/>
                <w:b/>
                <w:bCs/>
                <w:color w:val="1B3A52"/>
                <w:sz w:val="20"/>
                <w:szCs w:val="20"/>
              </w:rPr>
              <w:t xml:space="preserve">Date, time, and location of injury</w:t>
            </w:r>
          </w:p>
        </w:tc>
        <w:tc>
          <w:tcPr>
            <w:tcW w:type="dxa" w:w="6653"/>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 </w:t>
            </w:r>
          </w:p>
        </w:tc>
      </w:tr>
      <w:tr>
        <w:tc>
          <w:tcPr>
            <w:tcW w:type="dxa" w:w="3427"/>
            <w:tcBorders>
              <w:top w:val="single" w:color="D8E0E8" w:sz="2"/>
              <w:left w:val="single" w:color="D8E0E8" w:sz="2"/>
              <w:bottom w:val="single" w:color="D8E0E8" w:sz="2"/>
              <w:right w:val="single" w:color="D8E0E8" w:sz="2"/>
            </w:tcBorders>
            <w:shd w:fill="F0F4F8" w:val="clear"/>
            <w:tcMar>
              <w:top w:type="dxa" w:w="70"/>
              <w:left w:type="dxa" w:w="110"/>
              <w:bottom w:type="dxa" w:w="70"/>
              <w:right w:type="dxa" w:w="110"/>
            </w:tcMar>
            <w:vAlign w:val="top"/>
          </w:tcPr>
          <w:p>
            <w:pPr>
              <w:spacing w:after="0"/>
            </w:pPr>
            <w:r>
              <w:rPr>
                <w:rFonts w:ascii="Arial" w:cs="Arial" w:eastAsia="Arial" w:hAnsi="Arial"/>
                <w:b/>
                <w:bCs/>
                <w:color w:val="1B3A52"/>
                <w:sz w:val="20"/>
                <w:szCs w:val="20"/>
              </w:rPr>
              <w:t xml:space="preserve">How the injury occurred (facts, not fault)</w:t>
            </w:r>
          </w:p>
        </w:tc>
        <w:tc>
          <w:tcPr>
            <w:tcW w:type="dxa" w:w="6653"/>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 </w:t>
            </w:r>
          </w:p>
        </w:tc>
      </w:tr>
      <w:tr>
        <w:tc>
          <w:tcPr>
            <w:tcW w:type="dxa" w:w="3427"/>
            <w:tcBorders>
              <w:top w:val="single" w:color="D8E0E8" w:sz="2"/>
              <w:left w:val="single" w:color="D8E0E8" w:sz="2"/>
              <w:bottom w:val="single" w:color="D8E0E8" w:sz="2"/>
              <w:right w:val="single" w:color="D8E0E8" w:sz="2"/>
            </w:tcBorders>
            <w:shd w:fill="F0F4F8" w:val="clear"/>
            <w:tcMar>
              <w:top w:type="dxa" w:w="70"/>
              <w:left w:type="dxa" w:w="110"/>
              <w:bottom w:type="dxa" w:w="70"/>
              <w:right w:type="dxa" w:w="110"/>
            </w:tcMar>
            <w:vAlign w:val="top"/>
          </w:tcPr>
          <w:p>
            <w:pPr>
              <w:spacing w:after="0"/>
            </w:pPr>
            <w:r>
              <w:rPr>
                <w:rFonts w:ascii="Arial" w:cs="Arial" w:eastAsia="Arial" w:hAnsi="Arial"/>
                <w:b/>
                <w:bCs/>
                <w:color w:val="1B3A52"/>
                <w:sz w:val="20"/>
                <w:szCs w:val="20"/>
              </w:rPr>
              <w:t xml:space="preserve">Body part(s) and apparent severity</w:t>
            </w:r>
          </w:p>
        </w:tc>
        <w:tc>
          <w:tcPr>
            <w:tcW w:type="dxa" w:w="6653"/>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 </w:t>
            </w:r>
          </w:p>
        </w:tc>
      </w:tr>
      <w:tr>
        <w:tc>
          <w:tcPr>
            <w:tcW w:type="dxa" w:w="3427"/>
            <w:tcBorders>
              <w:top w:val="single" w:color="D8E0E8" w:sz="2"/>
              <w:left w:val="single" w:color="D8E0E8" w:sz="2"/>
              <w:bottom w:val="single" w:color="D8E0E8" w:sz="2"/>
              <w:right w:val="single" w:color="D8E0E8" w:sz="2"/>
            </w:tcBorders>
            <w:shd w:fill="F0F4F8" w:val="clear"/>
            <w:tcMar>
              <w:top w:type="dxa" w:w="70"/>
              <w:left w:type="dxa" w:w="110"/>
              <w:bottom w:type="dxa" w:w="70"/>
              <w:right w:type="dxa" w:w="110"/>
            </w:tcMar>
            <w:vAlign w:val="top"/>
          </w:tcPr>
          <w:p>
            <w:pPr>
              <w:spacing w:after="0"/>
            </w:pPr>
            <w:r>
              <w:rPr>
                <w:rFonts w:ascii="Arial" w:cs="Arial" w:eastAsia="Arial" w:hAnsi="Arial"/>
                <w:b/>
                <w:bCs/>
                <w:color w:val="1B3A52"/>
                <w:sz w:val="20"/>
                <w:szCs w:val="20"/>
              </w:rPr>
              <w:t xml:space="preserve">Witnesses</w:t>
            </w:r>
          </w:p>
        </w:tc>
        <w:tc>
          <w:tcPr>
            <w:tcW w:type="dxa" w:w="6653"/>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 </w:t>
            </w:r>
          </w:p>
        </w:tc>
      </w:tr>
      <w:tr>
        <w:tc>
          <w:tcPr>
            <w:tcW w:type="dxa" w:w="3427"/>
            <w:tcBorders>
              <w:top w:val="single" w:color="D8E0E8" w:sz="2"/>
              <w:left w:val="single" w:color="D8E0E8" w:sz="2"/>
              <w:bottom w:val="single" w:color="D8E0E8" w:sz="2"/>
              <w:right w:val="single" w:color="D8E0E8" w:sz="2"/>
            </w:tcBorders>
            <w:shd w:fill="F0F4F8" w:val="clear"/>
            <w:tcMar>
              <w:top w:type="dxa" w:w="70"/>
              <w:left w:type="dxa" w:w="110"/>
              <w:bottom w:type="dxa" w:w="70"/>
              <w:right w:type="dxa" w:w="110"/>
            </w:tcMar>
            <w:vAlign w:val="top"/>
          </w:tcPr>
          <w:p>
            <w:pPr>
              <w:spacing w:after="0"/>
            </w:pPr>
            <w:r>
              <w:rPr>
                <w:rFonts w:ascii="Arial" w:cs="Arial" w:eastAsia="Arial" w:hAnsi="Arial"/>
                <w:b/>
                <w:bCs/>
                <w:color w:val="1B3A52"/>
                <w:sz w:val="20"/>
                <w:szCs w:val="20"/>
              </w:rPr>
              <w:t xml:space="preserve">Reported to whom, and when</w:t>
            </w:r>
          </w:p>
        </w:tc>
        <w:tc>
          <w:tcPr>
            <w:tcW w:type="dxa" w:w="6653"/>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 </w:t>
            </w:r>
          </w:p>
        </w:tc>
      </w:tr>
      <w:tr>
        <w:tc>
          <w:tcPr>
            <w:tcW w:type="dxa" w:w="3427"/>
            <w:tcBorders>
              <w:top w:val="single" w:color="D8E0E8" w:sz="2"/>
              <w:left w:val="single" w:color="D8E0E8" w:sz="2"/>
              <w:bottom w:val="single" w:color="D8E0E8" w:sz="2"/>
              <w:right w:val="single" w:color="D8E0E8" w:sz="2"/>
            </w:tcBorders>
            <w:shd w:fill="F0F4F8" w:val="clear"/>
            <w:tcMar>
              <w:top w:type="dxa" w:w="70"/>
              <w:left w:type="dxa" w:w="110"/>
              <w:bottom w:type="dxa" w:w="70"/>
              <w:right w:type="dxa" w:w="110"/>
            </w:tcMar>
            <w:vAlign w:val="top"/>
          </w:tcPr>
          <w:p>
            <w:pPr>
              <w:spacing w:after="0"/>
            </w:pPr>
            <w:r>
              <w:rPr>
                <w:rFonts w:ascii="Arial" w:cs="Arial" w:eastAsia="Arial" w:hAnsi="Arial"/>
                <w:b/>
                <w:bCs/>
                <w:color w:val="1B3A52"/>
                <w:sz w:val="20"/>
                <w:szCs w:val="20"/>
              </w:rPr>
              <w:t xml:space="preserve">Date reported to carrier / claim number</w:t>
            </w:r>
          </w:p>
        </w:tc>
        <w:tc>
          <w:tcPr>
            <w:tcW w:type="dxa" w:w="6653"/>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 </w:t>
            </w:r>
          </w:p>
        </w:tc>
      </w:tr>
    </w:tbl>
    <w:p>
      <w:pPr>
        <w:spacing w:after="160"/>
      </w:pPr>
      <w:r>
        <w:rPr>
          <w:rFonts w:ascii="Arial" w:cs="Arial" w:eastAsia="Arial" w:hAnsi="Arial"/>
          <w:color w:val="22303C"/>
          <w:sz w:val="8"/>
          <w:szCs w:val="8"/>
        </w:rPr>
        <w:t xml:space="preserve"> </w:t>
      </w:r>
    </w:p>
    <w:p>
      <w:pPr>
        <w:keepNext/>
        <w:spacing w:after="100" w:before="220"/>
      </w:pPr>
      <w:r>
        <w:rPr>
          <w:rFonts w:ascii="Arial" w:cs="Arial" w:eastAsia="Arial" w:hAnsi="Arial"/>
          <w:b/>
          <w:bCs/>
          <w:color w:val="1B3A52"/>
          <w:sz w:val="22"/>
          <w:szCs w:val="22"/>
        </w:rPr>
        <w:t xml:space="preserve">Part 2 — Immediate Response</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907"/>
        <w:gridCol w:w="6552"/>
        <w:gridCol w:w="2621"/>
      </w:tblGrid>
      <w:tr>
        <w:trPr>
          <w:tblHeader/>
        </w:trPr>
        <w:tc>
          <w:tcPr>
            <w:tcW w:type="dxa" w:w="907"/>
            <w:tcBorders>
              <w:top w:val="single" w:color="D8E0E8" w:sz="2"/>
              <w:left w:val="single" w:color="D8E0E8" w:sz="2"/>
              <w:bottom w:val="single" w:color="D8E0E8" w:sz="2"/>
              <w:right w:val="single" w:color="D8E0E8" w:sz="2"/>
            </w:tcBorders>
            <w:shd w:fill="1B3A52" w:val="clear"/>
            <w:tcMar>
              <w:top w:type="dxa" w:w="70"/>
              <w:left w:type="dxa" w:w="110"/>
              <w:bottom w:type="dxa" w:w="70"/>
              <w:right w:type="dxa" w:w="110"/>
            </w:tcMar>
            <w:vAlign w:val="top"/>
          </w:tcPr>
          <w:p>
            <w:pPr>
              <w:spacing w:after="0"/>
            </w:pPr>
            <w:r>
              <w:rPr>
                <w:rFonts w:ascii="Arial" w:cs="Arial" w:eastAsia="Arial" w:hAnsi="Arial"/>
                <w:b/>
                <w:bCs/>
                <w:color w:val="FFFFFF"/>
                <w:sz w:val="19"/>
                <w:szCs w:val="19"/>
              </w:rPr>
              <w:t xml:space="preserve">Done</w:t>
            </w:r>
          </w:p>
        </w:tc>
        <w:tc>
          <w:tcPr>
            <w:tcW w:type="dxa" w:w="6552"/>
            <w:tcBorders>
              <w:top w:val="single" w:color="D8E0E8" w:sz="2"/>
              <w:left w:val="single" w:color="D8E0E8" w:sz="2"/>
              <w:bottom w:val="single" w:color="D8E0E8" w:sz="2"/>
              <w:right w:val="single" w:color="D8E0E8" w:sz="2"/>
            </w:tcBorders>
            <w:shd w:fill="1B3A52" w:val="clear"/>
            <w:tcMar>
              <w:top w:type="dxa" w:w="70"/>
              <w:left w:type="dxa" w:w="110"/>
              <w:bottom w:type="dxa" w:w="70"/>
              <w:right w:type="dxa" w:w="110"/>
            </w:tcMar>
            <w:vAlign w:val="top"/>
          </w:tcPr>
          <w:p>
            <w:pPr>
              <w:spacing w:after="0"/>
            </w:pPr>
            <w:r>
              <w:rPr>
                <w:rFonts w:ascii="Arial" w:cs="Arial" w:eastAsia="Arial" w:hAnsi="Arial"/>
                <w:b/>
                <w:bCs/>
                <w:color w:val="FFFFFF"/>
                <w:sz w:val="19"/>
                <w:szCs w:val="19"/>
              </w:rPr>
              <w:t xml:space="preserve">Response step</w:t>
            </w:r>
          </w:p>
        </w:tc>
        <w:tc>
          <w:tcPr>
            <w:tcW w:type="dxa" w:w="2621"/>
            <w:tcBorders>
              <w:top w:val="single" w:color="D8E0E8" w:sz="2"/>
              <w:left w:val="single" w:color="D8E0E8" w:sz="2"/>
              <w:bottom w:val="single" w:color="D8E0E8" w:sz="2"/>
              <w:right w:val="single" w:color="D8E0E8" w:sz="2"/>
            </w:tcBorders>
            <w:shd w:fill="1B3A52" w:val="clear"/>
            <w:tcMar>
              <w:top w:type="dxa" w:w="70"/>
              <w:left w:type="dxa" w:w="110"/>
              <w:bottom w:type="dxa" w:w="70"/>
              <w:right w:type="dxa" w:w="110"/>
            </w:tcMar>
            <w:vAlign w:val="top"/>
          </w:tcPr>
          <w:p>
            <w:pPr>
              <w:spacing w:after="0"/>
            </w:pPr>
            <w:r>
              <w:rPr>
                <w:rFonts w:ascii="Arial" w:cs="Arial" w:eastAsia="Arial" w:hAnsi="Arial"/>
                <w:b/>
                <w:bCs/>
                <w:color w:val="FFFFFF"/>
                <w:sz w:val="19"/>
                <w:szCs w:val="19"/>
              </w:rPr>
              <w:t xml:space="preserve">Date / notes</w:t>
            </w:r>
          </w:p>
        </w:tc>
      </w:tr>
      <w:tr>
        <w:tc>
          <w:tcPr>
            <w:tcW w:type="dxa" w:w="907"/>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jc w:val="center"/>
            </w:pPr>
            <w:r>
              <w:rPr>
                <w:rFonts w:ascii="Arial" w:cs="Arial" w:eastAsia="Arial" w:hAnsi="Arial"/>
                <w:color w:val="4A5A6A"/>
                <w:sz w:val="26"/>
                <w:szCs w:val="26"/>
              </w:rPr>
              <w:t xml:space="preserve">☐</w:t>
            </w:r>
          </w:p>
        </w:tc>
        <w:tc>
          <w:tcPr>
            <w:tcW w:type="dxa" w:w="6552"/>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Medical attention arranged (emergency or clinic per network rules)</w:t>
            </w:r>
          </w:p>
        </w:tc>
        <w:tc>
          <w:tcPr>
            <w:tcW w:type="dxa" w:w="2621"/>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 </w:t>
            </w:r>
          </w:p>
        </w:tc>
      </w:tr>
      <w:tr>
        <w:tc>
          <w:tcPr>
            <w:tcW w:type="dxa" w:w="907"/>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jc w:val="center"/>
            </w:pPr>
            <w:r>
              <w:rPr>
                <w:rFonts w:ascii="Arial" w:cs="Arial" w:eastAsia="Arial" w:hAnsi="Arial"/>
                <w:color w:val="4A5A6A"/>
                <w:sz w:val="26"/>
                <w:szCs w:val="26"/>
              </w:rPr>
              <w:t xml:space="preserve">☐</w:t>
            </w:r>
          </w:p>
        </w:tc>
        <w:tc>
          <w:tcPr>
            <w:tcW w:type="dxa" w:w="6552"/>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Scene made safe; hazard corrected or flagged</w:t>
            </w:r>
          </w:p>
        </w:tc>
        <w:tc>
          <w:tcPr>
            <w:tcW w:type="dxa" w:w="2621"/>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 </w:t>
            </w:r>
          </w:p>
        </w:tc>
      </w:tr>
      <w:tr>
        <w:tc>
          <w:tcPr>
            <w:tcW w:type="dxa" w:w="907"/>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jc w:val="center"/>
            </w:pPr>
            <w:r>
              <w:rPr>
                <w:rFonts w:ascii="Arial" w:cs="Arial" w:eastAsia="Arial" w:hAnsi="Arial"/>
                <w:color w:val="4A5A6A"/>
                <w:sz w:val="26"/>
                <w:szCs w:val="26"/>
              </w:rPr>
              <w:t xml:space="preserve">☐</w:t>
            </w:r>
          </w:p>
        </w:tc>
        <w:tc>
          <w:tcPr>
            <w:tcW w:type="dxa" w:w="6552"/>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Injury reported to carrier within required timeframe</w:t>
            </w:r>
          </w:p>
        </w:tc>
        <w:tc>
          <w:tcPr>
            <w:tcW w:type="dxa" w:w="2621"/>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 </w:t>
            </w:r>
          </w:p>
        </w:tc>
      </w:tr>
      <w:tr>
        <w:tc>
          <w:tcPr>
            <w:tcW w:type="dxa" w:w="907"/>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jc w:val="center"/>
            </w:pPr>
            <w:r>
              <w:rPr>
                <w:rFonts w:ascii="Arial" w:cs="Arial" w:eastAsia="Arial" w:hAnsi="Arial"/>
                <w:color w:val="4A5A6A"/>
                <w:sz w:val="26"/>
                <w:szCs w:val="26"/>
              </w:rPr>
              <w:t xml:space="preserve">☐</w:t>
            </w:r>
          </w:p>
        </w:tc>
        <w:tc>
          <w:tcPr>
            <w:tcW w:type="dxa" w:w="6552"/>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OSHA recordability assessed (see OSHA Recordkeeping Readiness Checklist)</w:t>
            </w:r>
          </w:p>
        </w:tc>
        <w:tc>
          <w:tcPr>
            <w:tcW w:type="dxa" w:w="2621"/>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 </w:t>
            </w:r>
          </w:p>
        </w:tc>
      </w:tr>
      <w:tr>
        <w:tc>
          <w:tcPr>
            <w:tcW w:type="dxa" w:w="907"/>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jc w:val="center"/>
            </w:pPr>
            <w:r>
              <w:rPr>
                <w:rFonts w:ascii="Arial" w:cs="Arial" w:eastAsia="Arial" w:hAnsi="Arial"/>
                <w:color w:val="4A5A6A"/>
                <w:sz w:val="26"/>
                <w:szCs w:val="26"/>
              </w:rPr>
              <w:t xml:space="preserve">☐</w:t>
            </w:r>
          </w:p>
        </w:tc>
        <w:tc>
          <w:tcPr>
            <w:tcW w:type="dxa" w:w="6552"/>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Employee told what happens next — claim process, contact person, no-retaliation assurance</w:t>
            </w:r>
          </w:p>
        </w:tc>
        <w:tc>
          <w:tcPr>
            <w:tcW w:type="dxa" w:w="2621"/>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 </w:t>
            </w:r>
          </w:p>
        </w:tc>
      </w:tr>
      <w:tr>
        <w:tc>
          <w:tcPr>
            <w:tcW w:type="dxa" w:w="907"/>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jc w:val="center"/>
            </w:pPr>
            <w:r>
              <w:rPr>
                <w:rFonts w:ascii="Arial" w:cs="Arial" w:eastAsia="Arial" w:hAnsi="Arial"/>
                <w:color w:val="4A5A6A"/>
                <w:sz w:val="26"/>
                <w:szCs w:val="26"/>
              </w:rPr>
              <w:t xml:space="preserve">☐</w:t>
            </w:r>
          </w:p>
        </w:tc>
        <w:tc>
          <w:tcPr>
            <w:tcW w:type="dxa" w:w="6552"/>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Supervisor statement and witness statements collected while fresh</w:t>
            </w:r>
          </w:p>
        </w:tc>
        <w:tc>
          <w:tcPr>
            <w:tcW w:type="dxa" w:w="2621"/>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 </w:t>
            </w:r>
          </w:p>
        </w:tc>
      </w:tr>
    </w:tbl>
    <w:p>
      <w:pPr>
        <w:spacing w:after="160"/>
      </w:pPr>
      <w:r>
        <w:rPr>
          <w:rFonts w:ascii="Arial" w:cs="Arial" w:eastAsia="Arial" w:hAnsi="Arial"/>
          <w:color w:val="22303C"/>
          <w:sz w:val="8"/>
          <w:szCs w:val="8"/>
        </w:rPr>
        <w:t xml:space="preserve"> </w:t>
      </w:r>
    </w:p>
    <w:p>
      <w:pPr>
        <w:keepNext/>
        <w:spacing w:after="100" w:before="220"/>
      </w:pPr>
      <w:r>
        <w:rPr>
          <w:rFonts w:ascii="Arial" w:cs="Arial" w:eastAsia="Arial" w:hAnsi="Arial"/>
          <w:b/>
          <w:bCs/>
          <w:color w:val="1B3A52"/>
          <w:sz w:val="22"/>
          <w:szCs w:val="22"/>
        </w:rPr>
        <w:t xml:space="preserve">Part 3 — Treatment and Restriction Tracking</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394"/>
        <w:gridCol w:w="2359"/>
        <w:gridCol w:w="2573"/>
        <w:gridCol w:w="3754"/>
      </w:tblGrid>
      <w:tr>
        <w:trPr>
          <w:tblHeader/>
        </w:trPr>
        <w:tc>
          <w:tcPr>
            <w:tcW w:type="dxa" w:w="1394"/>
            <w:tcBorders>
              <w:top w:val="single" w:color="D8E0E8" w:sz="2"/>
              <w:left w:val="single" w:color="D8E0E8" w:sz="2"/>
              <w:bottom w:val="single" w:color="D8E0E8" w:sz="2"/>
              <w:right w:val="single" w:color="D8E0E8" w:sz="2"/>
            </w:tcBorders>
            <w:shd w:fill="1B3A52" w:val="clear"/>
            <w:tcMar>
              <w:top w:type="dxa" w:w="70"/>
              <w:left w:type="dxa" w:w="110"/>
              <w:bottom w:type="dxa" w:w="70"/>
              <w:right w:type="dxa" w:w="110"/>
            </w:tcMar>
            <w:vAlign w:val="top"/>
          </w:tcPr>
          <w:p>
            <w:pPr>
              <w:spacing w:after="0"/>
            </w:pPr>
            <w:r>
              <w:rPr>
                <w:rFonts w:ascii="Arial" w:cs="Arial" w:eastAsia="Arial" w:hAnsi="Arial"/>
                <w:b/>
                <w:bCs/>
                <w:color w:val="FFFFFF"/>
                <w:sz w:val="19"/>
                <w:szCs w:val="19"/>
              </w:rPr>
              <w:t xml:space="preserve">Date</w:t>
            </w:r>
          </w:p>
        </w:tc>
        <w:tc>
          <w:tcPr>
            <w:tcW w:type="dxa" w:w="2359"/>
            <w:tcBorders>
              <w:top w:val="single" w:color="D8E0E8" w:sz="2"/>
              <w:left w:val="single" w:color="D8E0E8" w:sz="2"/>
              <w:bottom w:val="single" w:color="D8E0E8" w:sz="2"/>
              <w:right w:val="single" w:color="D8E0E8" w:sz="2"/>
            </w:tcBorders>
            <w:shd w:fill="1B3A52" w:val="clear"/>
            <w:tcMar>
              <w:top w:type="dxa" w:w="70"/>
              <w:left w:type="dxa" w:w="110"/>
              <w:bottom w:type="dxa" w:w="70"/>
              <w:right w:type="dxa" w:w="110"/>
            </w:tcMar>
            <w:vAlign w:val="top"/>
          </w:tcPr>
          <w:p>
            <w:pPr>
              <w:spacing w:after="0"/>
            </w:pPr>
            <w:r>
              <w:rPr>
                <w:rFonts w:ascii="Arial" w:cs="Arial" w:eastAsia="Arial" w:hAnsi="Arial"/>
                <w:b/>
                <w:bCs/>
                <w:color w:val="FFFFFF"/>
                <w:sz w:val="19"/>
                <w:szCs w:val="19"/>
              </w:rPr>
              <w:t xml:space="preserve">Provider / visit</w:t>
            </w:r>
          </w:p>
        </w:tc>
        <w:tc>
          <w:tcPr>
            <w:tcW w:type="dxa" w:w="2573"/>
            <w:tcBorders>
              <w:top w:val="single" w:color="D8E0E8" w:sz="2"/>
              <w:left w:val="single" w:color="D8E0E8" w:sz="2"/>
              <w:bottom w:val="single" w:color="D8E0E8" w:sz="2"/>
              <w:right w:val="single" w:color="D8E0E8" w:sz="2"/>
            </w:tcBorders>
            <w:shd w:fill="1B3A52" w:val="clear"/>
            <w:tcMar>
              <w:top w:type="dxa" w:w="70"/>
              <w:left w:type="dxa" w:w="110"/>
              <w:bottom w:type="dxa" w:w="70"/>
              <w:right w:type="dxa" w:w="110"/>
            </w:tcMar>
            <w:vAlign w:val="top"/>
          </w:tcPr>
          <w:p>
            <w:pPr>
              <w:spacing w:after="0"/>
            </w:pPr>
            <w:r>
              <w:rPr>
                <w:rFonts w:ascii="Arial" w:cs="Arial" w:eastAsia="Arial" w:hAnsi="Arial"/>
                <w:b/>
                <w:bCs/>
                <w:color w:val="FFFFFF"/>
                <w:sz w:val="19"/>
                <w:szCs w:val="19"/>
              </w:rPr>
              <w:t xml:space="preserve">Work status (full / restricted / off)</w:t>
            </w:r>
          </w:p>
        </w:tc>
        <w:tc>
          <w:tcPr>
            <w:tcW w:type="dxa" w:w="3754"/>
            <w:tcBorders>
              <w:top w:val="single" w:color="D8E0E8" w:sz="2"/>
              <w:left w:val="single" w:color="D8E0E8" w:sz="2"/>
              <w:bottom w:val="single" w:color="D8E0E8" w:sz="2"/>
              <w:right w:val="single" w:color="D8E0E8" w:sz="2"/>
            </w:tcBorders>
            <w:shd w:fill="1B3A52" w:val="clear"/>
            <w:tcMar>
              <w:top w:type="dxa" w:w="70"/>
              <w:left w:type="dxa" w:w="110"/>
              <w:bottom w:type="dxa" w:w="70"/>
              <w:right w:type="dxa" w:w="110"/>
            </w:tcMar>
            <w:vAlign w:val="top"/>
          </w:tcPr>
          <w:p>
            <w:pPr>
              <w:spacing w:after="0"/>
            </w:pPr>
            <w:r>
              <w:rPr>
                <w:rFonts w:ascii="Arial" w:cs="Arial" w:eastAsia="Arial" w:hAnsi="Arial"/>
                <w:b/>
                <w:bCs/>
                <w:color w:val="FFFFFF"/>
                <w:sz w:val="19"/>
                <w:szCs w:val="19"/>
              </w:rPr>
              <w:t xml:space="preserve">Restrictions (exact language)</w:t>
            </w:r>
          </w:p>
        </w:tc>
      </w:tr>
      <w:tr>
        <w:tc>
          <w:tcPr>
            <w:tcW w:type="dxa" w:w="1394"/>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 </w:t>
            </w:r>
          </w:p>
        </w:tc>
        <w:tc>
          <w:tcPr>
            <w:tcW w:type="dxa" w:w="2359"/>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 </w:t>
            </w:r>
          </w:p>
        </w:tc>
        <w:tc>
          <w:tcPr>
            <w:tcW w:type="dxa" w:w="2573"/>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 </w:t>
            </w:r>
          </w:p>
        </w:tc>
        <w:tc>
          <w:tcPr>
            <w:tcW w:type="dxa" w:w="3754"/>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 </w:t>
            </w:r>
          </w:p>
        </w:tc>
      </w:tr>
      <w:tr>
        <w:tc>
          <w:tcPr>
            <w:tcW w:type="dxa" w:w="1394"/>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 </w:t>
            </w:r>
          </w:p>
        </w:tc>
        <w:tc>
          <w:tcPr>
            <w:tcW w:type="dxa" w:w="2359"/>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 </w:t>
            </w:r>
          </w:p>
        </w:tc>
        <w:tc>
          <w:tcPr>
            <w:tcW w:type="dxa" w:w="2573"/>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 </w:t>
            </w:r>
          </w:p>
        </w:tc>
        <w:tc>
          <w:tcPr>
            <w:tcW w:type="dxa" w:w="3754"/>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 </w:t>
            </w:r>
          </w:p>
        </w:tc>
      </w:tr>
      <w:tr>
        <w:tc>
          <w:tcPr>
            <w:tcW w:type="dxa" w:w="1394"/>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 </w:t>
            </w:r>
          </w:p>
        </w:tc>
        <w:tc>
          <w:tcPr>
            <w:tcW w:type="dxa" w:w="2359"/>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 </w:t>
            </w:r>
          </w:p>
        </w:tc>
        <w:tc>
          <w:tcPr>
            <w:tcW w:type="dxa" w:w="2573"/>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 </w:t>
            </w:r>
          </w:p>
        </w:tc>
        <w:tc>
          <w:tcPr>
            <w:tcW w:type="dxa" w:w="3754"/>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 </w:t>
            </w:r>
          </w:p>
        </w:tc>
      </w:tr>
      <w:tr>
        <w:tc>
          <w:tcPr>
            <w:tcW w:type="dxa" w:w="1394"/>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 </w:t>
            </w:r>
          </w:p>
        </w:tc>
        <w:tc>
          <w:tcPr>
            <w:tcW w:type="dxa" w:w="2359"/>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 </w:t>
            </w:r>
          </w:p>
        </w:tc>
        <w:tc>
          <w:tcPr>
            <w:tcW w:type="dxa" w:w="2573"/>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 </w:t>
            </w:r>
          </w:p>
        </w:tc>
        <w:tc>
          <w:tcPr>
            <w:tcW w:type="dxa" w:w="3754"/>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 </w:t>
            </w:r>
          </w:p>
        </w:tc>
      </w:tr>
      <w:tr>
        <w:tc>
          <w:tcPr>
            <w:tcW w:type="dxa" w:w="1394"/>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 </w:t>
            </w:r>
          </w:p>
        </w:tc>
        <w:tc>
          <w:tcPr>
            <w:tcW w:type="dxa" w:w="2359"/>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 </w:t>
            </w:r>
          </w:p>
        </w:tc>
        <w:tc>
          <w:tcPr>
            <w:tcW w:type="dxa" w:w="2573"/>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 </w:t>
            </w:r>
          </w:p>
        </w:tc>
        <w:tc>
          <w:tcPr>
            <w:tcW w:type="dxa" w:w="3754"/>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 </w:t>
            </w:r>
          </w:p>
        </w:tc>
      </w:tr>
    </w:tbl>
    <w:p>
      <w:pPr>
        <w:spacing w:after="160"/>
      </w:pPr>
      <w:r>
        <w:rPr>
          <w:rFonts w:ascii="Arial" w:cs="Arial" w:eastAsia="Arial" w:hAnsi="Arial"/>
          <w:color w:val="22303C"/>
          <w:sz w:val="8"/>
          <w:szCs w:val="8"/>
        </w:rPr>
        <w:t xml:space="preserve"> </w:t>
      </w:r>
    </w:p>
    <w:p>
      <w:pPr>
        <w:keepNext/>
        <w:spacing w:after="100" w:before="220"/>
      </w:pPr>
      <w:r>
        <w:rPr>
          <w:rFonts w:ascii="Arial" w:cs="Arial" w:eastAsia="Arial" w:hAnsi="Arial"/>
          <w:b/>
          <w:bCs/>
          <w:color w:val="1B3A52"/>
          <w:sz w:val="22"/>
          <w:szCs w:val="22"/>
        </w:rPr>
        <w:t xml:space="preserve">Part 4 — Light-Duty Analysis</w:t>
      </w:r>
    </w:p>
    <w:p>
      <w:pPr>
        <w:spacing w:after="120" w:line="288"/>
      </w:pPr>
      <w:r>
        <w:rPr>
          <w:rFonts w:ascii="Arial" w:cs="Arial" w:eastAsia="Arial" w:hAnsi="Arial"/>
          <w:color w:val="4A5A6A"/>
          <w:sz w:val="20"/>
          <w:szCs w:val="20"/>
        </w:rPr>
        <w:t xml:space="preserve">Compare the current restrictions to real tasks. A light-duty offer must be genuine work within restrictions — not humiliation duty, and not a pretext to force a quit.</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3217"/>
        <w:gridCol w:w="2144"/>
        <w:gridCol w:w="1715"/>
        <w:gridCol w:w="1501"/>
        <w:gridCol w:w="1503"/>
      </w:tblGrid>
      <w:tr>
        <w:trPr>
          <w:tblHeader/>
        </w:trPr>
        <w:tc>
          <w:tcPr>
            <w:tcW w:type="dxa" w:w="3217"/>
            <w:tcBorders>
              <w:top w:val="single" w:color="D8E0E8" w:sz="2"/>
              <w:left w:val="single" w:color="D8E0E8" w:sz="2"/>
              <w:bottom w:val="single" w:color="D8E0E8" w:sz="2"/>
              <w:right w:val="single" w:color="D8E0E8" w:sz="2"/>
            </w:tcBorders>
            <w:shd w:fill="1B3A52" w:val="clear"/>
            <w:tcMar>
              <w:top w:type="dxa" w:w="70"/>
              <w:left w:type="dxa" w:w="110"/>
              <w:bottom w:type="dxa" w:w="70"/>
              <w:right w:type="dxa" w:w="110"/>
            </w:tcMar>
            <w:vAlign w:val="top"/>
          </w:tcPr>
          <w:p>
            <w:pPr>
              <w:spacing w:after="0"/>
            </w:pPr>
            <w:r>
              <w:rPr>
                <w:rFonts w:ascii="Arial" w:cs="Arial" w:eastAsia="Arial" w:hAnsi="Arial"/>
                <w:b/>
                <w:bCs/>
                <w:color w:val="FFFFFF"/>
                <w:sz w:val="19"/>
                <w:szCs w:val="19"/>
              </w:rPr>
              <w:t xml:space="preserve">Available task</w:t>
            </w:r>
          </w:p>
        </w:tc>
        <w:tc>
          <w:tcPr>
            <w:tcW w:type="dxa" w:w="2144"/>
            <w:tcBorders>
              <w:top w:val="single" w:color="D8E0E8" w:sz="2"/>
              <w:left w:val="single" w:color="D8E0E8" w:sz="2"/>
              <w:bottom w:val="single" w:color="D8E0E8" w:sz="2"/>
              <w:right w:val="single" w:color="D8E0E8" w:sz="2"/>
            </w:tcBorders>
            <w:shd w:fill="1B3A52" w:val="clear"/>
            <w:tcMar>
              <w:top w:type="dxa" w:w="70"/>
              <w:left w:type="dxa" w:w="110"/>
              <w:bottom w:type="dxa" w:w="70"/>
              <w:right w:type="dxa" w:w="110"/>
            </w:tcMar>
            <w:vAlign w:val="top"/>
          </w:tcPr>
          <w:p>
            <w:pPr>
              <w:spacing w:after="0"/>
            </w:pPr>
            <w:r>
              <w:rPr>
                <w:rFonts w:ascii="Arial" w:cs="Arial" w:eastAsia="Arial" w:hAnsi="Arial"/>
                <w:b/>
                <w:bCs/>
                <w:color w:val="FFFFFF"/>
                <w:sz w:val="19"/>
                <w:szCs w:val="19"/>
              </w:rPr>
              <w:t xml:space="preserve">Within restrictions?</w:t>
            </w:r>
          </w:p>
        </w:tc>
        <w:tc>
          <w:tcPr>
            <w:tcW w:type="dxa" w:w="1715"/>
            <w:tcBorders>
              <w:top w:val="single" w:color="D8E0E8" w:sz="2"/>
              <w:left w:val="single" w:color="D8E0E8" w:sz="2"/>
              <w:bottom w:val="single" w:color="D8E0E8" w:sz="2"/>
              <w:right w:val="single" w:color="D8E0E8" w:sz="2"/>
            </w:tcBorders>
            <w:shd w:fill="1B3A52" w:val="clear"/>
            <w:tcMar>
              <w:top w:type="dxa" w:w="70"/>
              <w:left w:type="dxa" w:w="110"/>
              <w:bottom w:type="dxa" w:w="70"/>
              <w:right w:type="dxa" w:w="110"/>
            </w:tcMar>
            <w:vAlign w:val="top"/>
          </w:tcPr>
          <w:p>
            <w:pPr>
              <w:spacing w:after="0"/>
            </w:pPr>
            <w:r>
              <w:rPr>
                <w:rFonts w:ascii="Arial" w:cs="Arial" w:eastAsia="Arial" w:hAnsi="Arial"/>
                <w:b/>
                <w:bCs/>
                <w:color w:val="FFFFFF"/>
                <w:sz w:val="19"/>
                <w:szCs w:val="19"/>
              </w:rPr>
              <w:t xml:space="preserve">Hours / shift</w:t>
            </w:r>
          </w:p>
        </w:tc>
        <w:tc>
          <w:tcPr>
            <w:tcW w:type="dxa" w:w="1501"/>
            <w:tcBorders>
              <w:top w:val="single" w:color="D8E0E8" w:sz="2"/>
              <w:left w:val="single" w:color="D8E0E8" w:sz="2"/>
              <w:bottom w:val="single" w:color="D8E0E8" w:sz="2"/>
              <w:right w:val="single" w:color="D8E0E8" w:sz="2"/>
            </w:tcBorders>
            <w:shd w:fill="1B3A52" w:val="clear"/>
            <w:tcMar>
              <w:top w:type="dxa" w:w="70"/>
              <w:left w:type="dxa" w:w="110"/>
              <w:bottom w:type="dxa" w:w="70"/>
              <w:right w:type="dxa" w:w="110"/>
            </w:tcMar>
            <w:vAlign w:val="top"/>
          </w:tcPr>
          <w:p>
            <w:pPr>
              <w:spacing w:after="0"/>
            </w:pPr>
            <w:r>
              <w:rPr>
                <w:rFonts w:ascii="Arial" w:cs="Arial" w:eastAsia="Arial" w:hAnsi="Arial"/>
                <w:b/>
                <w:bCs/>
                <w:color w:val="FFFFFF"/>
                <w:sz w:val="19"/>
                <w:szCs w:val="19"/>
              </w:rPr>
              <w:t xml:space="preserve">Pay rate</w:t>
            </w:r>
          </w:p>
        </w:tc>
        <w:tc>
          <w:tcPr>
            <w:tcW w:type="dxa" w:w="1503"/>
            <w:tcBorders>
              <w:top w:val="single" w:color="D8E0E8" w:sz="2"/>
              <w:left w:val="single" w:color="D8E0E8" w:sz="2"/>
              <w:bottom w:val="single" w:color="D8E0E8" w:sz="2"/>
              <w:right w:val="single" w:color="D8E0E8" w:sz="2"/>
            </w:tcBorders>
            <w:shd w:fill="1B3A52" w:val="clear"/>
            <w:tcMar>
              <w:top w:type="dxa" w:w="70"/>
              <w:left w:type="dxa" w:w="110"/>
              <w:bottom w:type="dxa" w:w="70"/>
              <w:right w:type="dxa" w:w="110"/>
            </w:tcMar>
            <w:vAlign w:val="top"/>
          </w:tcPr>
          <w:p>
            <w:pPr>
              <w:spacing w:after="0"/>
            </w:pPr>
            <w:r>
              <w:rPr>
                <w:rFonts w:ascii="Arial" w:cs="Arial" w:eastAsia="Arial" w:hAnsi="Arial"/>
                <w:b/>
                <w:bCs/>
                <w:color w:val="FFFFFF"/>
                <w:sz w:val="19"/>
                <w:szCs w:val="19"/>
              </w:rPr>
              <w:t xml:space="preserve">Selected?</w:t>
            </w:r>
          </w:p>
        </w:tc>
      </w:tr>
      <w:tr>
        <w:tc>
          <w:tcPr>
            <w:tcW w:type="dxa" w:w="3217"/>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 </w:t>
            </w:r>
          </w:p>
        </w:tc>
        <w:tc>
          <w:tcPr>
            <w:tcW w:type="dxa" w:w="2144"/>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 </w:t>
            </w:r>
          </w:p>
        </w:tc>
        <w:tc>
          <w:tcPr>
            <w:tcW w:type="dxa" w:w="1715"/>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 </w:t>
            </w:r>
          </w:p>
        </w:tc>
        <w:tc>
          <w:tcPr>
            <w:tcW w:type="dxa" w:w="1501"/>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 </w:t>
            </w:r>
          </w:p>
        </w:tc>
        <w:tc>
          <w:tcPr>
            <w:tcW w:type="dxa" w:w="1503"/>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 </w:t>
            </w:r>
          </w:p>
        </w:tc>
      </w:tr>
      <w:tr>
        <w:tc>
          <w:tcPr>
            <w:tcW w:type="dxa" w:w="3217"/>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 </w:t>
            </w:r>
          </w:p>
        </w:tc>
        <w:tc>
          <w:tcPr>
            <w:tcW w:type="dxa" w:w="2144"/>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 </w:t>
            </w:r>
          </w:p>
        </w:tc>
        <w:tc>
          <w:tcPr>
            <w:tcW w:type="dxa" w:w="1715"/>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 </w:t>
            </w:r>
          </w:p>
        </w:tc>
        <w:tc>
          <w:tcPr>
            <w:tcW w:type="dxa" w:w="1501"/>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 </w:t>
            </w:r>
          </w:p>
        </w:tc>
        <w:tc>
          <w:tcPr>
            <w:tcW w:type="dxa" w:w="1503"/>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 </w:t>
            </w:r>
          </w:p>
        </w:tc>
      </w:tr>
      <w:tr>
        <w:tc>
          <w:tcPr>
            <w:tcW w:type="dxa" w:w="3217"/>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 </w:t>
            </w:r>
          </w:p>
        </w:tc>
        <w:tc>
          <w:tcPr>
            <w:tcW w:type="dxa" w:w="2144"/>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 </w:t>
            </w:r>
          </w:p>
        </w:tc>
        <w:tc>
          <w:tcPr>
            <w:tcW w:type="dxa" w:w="1715"/>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 </w:t>
            </w:r>
          </w:p>
        </w:tc>
        <w:tc>
          <w:tcPr>
            <w:tcW w:type="dxa" w:w="1501"/>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 </w:t>
            </w:r>
          </w:p>
        </w:tc>
        <w:tc>
          <w:tcPr>
            <w:tcW w:type="dxa" w:w="1503"/>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 </w:t>
            </w:r>
          </w:p>
        </w:tc>
      </w:tr>
      <w:tr>
        <w:tc>
          <w:tcPr>
            <w:tcW w:type="dxa" w:w="3217"/>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 </w:t>
            </w:r>
          </w:p>
        </w:tc>
        <w:tc>
          <w:tcPr>
            <w:tcW w:type="dxa" w:w="2144"/>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 </w:t>
            </w:r>
          </w:p>
        </w:tc>
        <w:tc>
          <w:tcPr>
            <w:tcW w:type="dxa" w:w="1715"/>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 </w:t>
            </w:r>
          </w:p>
        </w:tc>
        <w:tc>
          <w:tcPr>
            <w:tcW w:type="dxa" w:w="1501"/>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 </w:t>
            </w:r>
          </w:p>
        </w:tc>
        <w:tc>
          <w:tcPr>
            <w:tcW w:type="dxa" w:w="1503"/>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 </w:t>
            </w:r>
          </w:p>
        </w:tc>
      </w:tr>
    </w:tbl>
    <w:p>
      <w:pPr>
        <w:spacing w:after="160"/>
      </w:pPr>
      <w:r>
        <w:rPr>
          <w:rFonts w:ascii="Arial" w:cs="Arial" w:eastAsia="Arial" w:hAnsi="Arial"/>
          <w:color w:val="22303C"/>
          <w:sz w:val="8"/>
          <w:szCs w:val="8"/>
        </w:rPr>
        <w:t xml:space="preserve"> </w:t>
      </w:r>
    </w:p>
    <w:p>
      <w:pPr>
        <w:keepNext/>
        <w:spacing w:after="100" w:before="220"/>
      </w:pPr>
      <w:r>
        <w:rPr>
          <w:rFonts w:ascii="Arial" w:cs="Arial" w:eastAsia="Arial" w:hAnsi="Arial"/>
          <w:b/>
          <w:bCs/>
          <w:color w:val="1B3A52"/>
          <w:sz w:val="22"/>
          <w:szCs w:val="22"/>
        </w:rPr>
        <w:t xml:space="preserve">Part 5 — Light-Duty Offer Record</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3427"/>
        <w:gridCol w:w="6653"/>
      </w:tblGrid>
      <w:tr>
        <w:tc>
          <w:tcPr>
            <w:tcW w:type="dxa" w:w="3427"/>
            <w:tcBorders>
              <w:top w:val="single" w:color="D8E0E8" w:sz="2"/>
              <w:left w:val="single" w:color="D8E0E8" w:sz="2"/>
              <w:bottom w:val="single" w:color="D8E0E8" w:sz="2"/>
              <w:right w:val="single" w:color="D8E0E8" w:sz="2"/>
            </w:tcBorders>
            <w:shd w:fill="F0F4F8" w:val="clear"/>
            <w:tcMar>
              <w:top w:type="dxa" w:w="70"/>
              <w:left w:type="dxa" w:w="110"/>
              <w:bottom w:type="dxa" w:w="70"/>
              <w:right w:type="dxa" w:w="110"/>
            </w:tcMar>
            <w:vAlign w:val="top"/>
          </w:tcPr>
          <w:p>
            <w:pPr>
              <w:spacing w:after="0"/>
            </w:pPr>
            <w:r>
              <w:rPr>
                <w:rFonts w:ascii="Arial" w:cs="Arial" w:eastAsia="Arial" w:hAnsi="Arial"/>
                <w:b/>
                <w:bCs/>
                <w:color w:val="1B3A52"/>
                <w:sz w:val="20"/>
                <w:szCs w:val="20"/>
              </w:rPr>
              <w:t xml:space="preserve">Offer made in writing (date) — duties, schedule, pay, start date, duration</w:t>
            </w:r>
          </w:p>
        </w:tc>
        <w:tc>
          <w:tcPr>
            <w:tcW w:type="dxa" w:w="6653"/>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 </w:t>
            </w:r>
          </w:p>
        </w:tc>
      </w:tr>
      <w:tr>
        <w:tc>
          <w:tcPr>
            <w:tcW w:type="dxa" w:w="3427"/>
            <w:tcBorders>
              <w:top w:val="single" w:color="D8E0E8" w:sz="2"/>
              <w:left w:val="single" w:color="D8E0E8" w:sz="2"/>
              <w:bottom w:val="single" w:color="D8E0E8" w:sz="2"/>
              <w:right w:val="single" w:color="D8E0E8" w:sz="2"/>
            </w:tcBorders>
            <w:shd w:fill="F0F4F8" w:val="clear"/>
            <w:tcMar>
              <w:top w:type="dxa" w:w="70"/>
              <w:left w:type="dxa" w:w="110"/>
              <w:bottom w:type="dxa" w:w="70"/>
              <w:right w:type="dxa" w:w="110"/>
            </w:tcMar>
            <w:vAlign w:val="top"/>
          </w:tcPr>
          <w:p>
            <w:pPr>
              <w:spacing w:after="0"/>
            </w:pPr>
            <w:r>
              <w:rPr>
                <w:rFonts w:ascii="Arial" w:cs="Arial" w:eastAsia="Arial" w:hAnsi="Arial"/>
                <w:b/>
                <w:bCs/>
                <w:color w:val="1B3A52"/>
                <w:sz w:val="20"/>
                <w:szCs w:val="20"/>
              </w:rPr>
              <w:t xml:space="preserve">Restrictions the offer honors (quote the provider's language)</w:t>
            </w:r>
          </w:p>
        </w:tc>
        <w:tc>
          <w:tcPr>
            <w:tcW w:type="dxa" w:w="6653"/>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 </w:t>
            </w:r>
          </w:p>
        </w:tc>
      </w:tr>
      <w:tr>
        <w:tc>
          <w:tcPr>
            <w:tcW w:type="dxa" w:w="3427"/>
            <w:tcBorders>
              <w:top w:val="single" w:color="D8E0E8" w:sz="2"/>
              <w:left w:val="single" w:color="D8E0E8" w:sz="2"/>
              <w:bottom w:val="single" w:color="D8E0E8" w:sz="2"/>
              <w:right w:val="single" w:color="D8E0E8" w:sz="2"/>
            </w:tcBorders>
            <w:shd w:fill="F0F4F8" w:val="clear"/>
            <w:tcMar>
              <w:top w:type="dxa" w:w="70"/>
              <w:left w:type="dxa" w:w="110"/>
              <w:bottom w:type="dxa" w:w="70"/>
              <w:right w:type="dxa" w:w="110"/>
            </w:tcMar>
            <w:vAlign w:val="top"/>
          </w:tcPr>
          <w:p>
            <w:pPr>
              <w:spacing w:after="0"/>
            </w:pPr>
            <w:r>
              <w:rPr>
                <w:rFonts w:ascii="Arial" w:cs="Arial" w:eastAsia="Arial" w:hAnsi="Arial"/>
                <w:b/>
                <w:bCs/>
                <w:color w:val="1B3A52"/>
                <w:sz w:val="20"/>
                <w:szCs w:val="20"/>
              </w:rPr>
              <w:t xml:space="preserve">Employee response (accepted / declined / no response, with date)</w:t>
            </w:r>
          </w:p>
        </w:tc>
        <w:tc>
          <w:tcPr>
            <w:tcW w:type="dxa" w:w="6653"/>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 </w:t>
            </w:r>
          </w:p>
        </w:tc>
      </w:tr>
      <w:tr>
        <w:tc>
          <w:tcPr>
            <w:tcW w:type="dxa" w:w="3427"/>
            <w:tcBorders>
              <w:top w:val="single" w:color="D8E0E8" w:sz="2"/>
              <w:left w:val="single" w:color="D8E0E8" w:sz="2"/>
              <w:bottom w:val="single" w:color="D8E0E8" w:sz="2"/>
              <w:right w:val="single" w:color="D8E0E8" w:sz="2"/>
            </w:tcBorders>
            <w:shd w:fill="F0F4F8" w:val="clear"/>
            <w:tcMar>
              <w:top w:type="dxa" w:w="70"/>
              <w:left w:type="dxa" w:w="110"/>
              <w:bottom w:type="dxa" w:w="70"/>
              <w:right w:type="dxa" w:w="110"/>
            </w:tcMar>
            <w:vAlign w:val="top"/>
          </w:tcPr>
          <w:p>
            <w:pPr>
              <w:spacing w:after="0"/>
            </w:pPr>
            <w:r>
              <w:rPr>
                <w:rFonts w:ascii="Arial" w:cs="Arial" w:eastAsia="Arial" w:hAnsi="Arial"/>
                <w:b/>
                <w:bCs/>
                <w:color w:val="1B3A52"/>
                <w:sz w:val="20"/>
                <w:szCs w:val="20"/>
              </w:rPr>
              <w:t xml:space="preserve">If declined: reason given; carrier notified (date)</w:t>
            </w:r>
          </w:p>
        </w:tc>
        <w:tc>
          <w:tcPr>
            <w:tcW w:type="dxa" w:w="6653"/>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 </w:t>
            </w:r>
          </w:p>
        </w:tc>
      </w:tr>
      <w:tr>
        <w:tc>
          <w:tcPr>
            <w:tcW w:type="dxa" w:w="3427"/>
            <w:tcBorders>
              <w:top w:val="single" w:color="D8E0E8" w:sz="2"/>
              <w:left w:val="single" w:color="D8E0E8" w:sz="2"/>
              <w:bottom w:val="single" w:color="D8E0E8" w:sz="2"/>
              <w:right w:val="single" w:color="D8E0E8" w:sz="2"/>
            </w:tcBorders>
            <w:shd w:fill="F0F4F8" w:val="clear"/>
            <w:tcMar>
              <w:top w:type="dxa" w:w="70"/>
              <w:left w:type="dxa" w:w="110"/>
              <w:bottom w:type="dxa" w:w="70"/>
              <w:right w:type="dxa" w:w="110"/>
            </w:tcMar>
            <w:vAlign w:val="top"/>
          </w:tcPr>
          <w:p>
            <w:pPr>
              <w:spacing w:after="0"/>
            </w:pPr>
            <w:r>
              <w:rPr>
                <w:rFonts w:ascii="Arial" w:cs="Arial" w:eastAsia="Arial" w:hAnsi="Arial"/>
                <w:b/>
                <w:bCs/>
                <w:color w:val="1B3A52"/>
                <w:sz w:val="20"/>
                <w:szCs w:val="20"/>
              </w:rPr>
              <w:t xml:space="preserve">Supervisor briefed on restrictions — what the employee will NOT do</w:t>
            </w:r>
          </w:p>
        </w:tc>
        <w:tc>
          <w:tcPr>
            <w:tcW w:type="dxa" w:w="6653"/>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 </w:t>
            </w:r>
          </w:p>
        </w:tc>
      </w:tr>
    </w:tbl>
    <w:p>
      <w:pPr>
        <w:spacing w:after="160"/>
      </w:pPr>
      <w:r>
        <w:rPr>
          <w:rFonts w:ascii="Arial" w:cs="Arial" w:eastAsia="Arial" w:hAnsi="Arial"/>
          <w:color w:val="22303C"/>
          <w:sz w:val="8"/>
          <w:szCs w:val="8"/>
        </w:rPr>
        <w:t xml:space="preserve"> </w:t>
      </w:r>
    </w:p>
    <w:p>
      <w:pPr>
        <w:keepNext/>
        <w:spacing w:after="100" w:before="220"/>
      </w:pPr>
      <w:r>
        <w:rPr>
          <w:rFonts w:ascii="Arial" w:cs="Arial" w:eastAsia="Arial" w:hAnsi="Arial"/>
          <w:b/>
          <w:bCs/>
          <w:color w:val="1B3A52"/>
          <w:sz w:val="22"/>
          <w:szCs w:val="22"/>
        </w:rPr>
        <w:t xml:space="preserve">Part 6 — Communication Log</w:t>
      </w:r>
    </w:p>
    <w:p>
      <w:pPr>
        <w:spacing w:after="120" w:line="288"/>
      </w:pPr>
      <w:r>
        <w:rPr>
          <w:rFonts w:ascii="Arial" w:cs="Arial" w:eastAsia="Arial" w:hAnsi="Arial"/>
          <w:color w:val="4A5A6A"/>
          <w:sz w:val="20"/>
          <w:szCs w:val="20"/>
        </w:rPr>
        <w:t xml:space="preserve">Regular, respectful contact is the single best predictor of return-to-work. Log every touch.</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456"/>
        <w:gridCol w:w="2464"/>
        <w:gridCol w:w="6160"/>
      </w:tblGrid>
      <w:tr>
        <w:trPr>
          <w:tblHeader/>
        </w:trPr>
        <w:tc>
          <w:tcPr>
            <w:tcW w:type="dxa" w:w="1456"/>
            <w:tcBorders>
              <w:top w:val="single" w:color="D8E0E8" w:sz="2"/>
              <w:left w:val="single" w:color="D8E0E8" w:sz="2"/>
              <w:bottom w:val="single" w:color="D8E0E8" w:sz="2"/>
              <w:right w:val="single" w:color="D8E0E8" w:sz="2"/>
            </w:tcBorders>
            <w:shd w:fill="1B3A52" w:val="clear"/>
            <w:tcMar>
              <w:top w:type="dxa" w:w="70"/>
              <w:left w:type="dxa" w:w="110"/>
              <w:bottom w:type="dxa" w:w="70"/>
              <w:right w:type="dxa" w:w="110"/>
            </w:tcMar>
            <w:vAlign w:val="top"/>
          </w:tcPr>
          <w:p>
            <w:pPr>
              <w:spacing w:after="0"/>
            </w:pPr>
            <w:r>
              <w:rPr>
                <w:rFonts w:ascii="Arial" w:cs="Arial" w:eastAsia="Arial" w:hAnsi="Arial"/>
                <w:b/>
                <w:bCs/>
                <w:color w:val="FFFFFF"/>
                <w:sz w:val="19"/>
                <w:szCs w:val="19"/>
              </w:rPr>
              <w:t xml:space="preserve">Date</w:t>
            </w:r>
          </w:p>
        </w:tc>
        <w:tc>
          <w:tcPr>
            <w:tcW w:type="dxa" w:w="2464"/>
            <w:tcBorders>
              <w:top w:val="single" w:color="D8E0E8" w:sz="2"/>
              <w:left w:val="single" w:color="D8E0E8" w:sz="2"/>
              <w:bottom w:val="single" w:color="D8E0E8" w:sz="2"/>
              <w:right w:val="single" w:color="D8E0E8" w:sz="2"/>
            </w:tcBorders>
            <w:shd w:fill="1B3A52" w:val="clear"/>
            <w:tcMar>
              <w:top w:type="dxa" w:w="70"/>
              <w:left w:type="dxa" w:w="110"/>
              <w:bottom w:type="dxa" w:w="70"/>
              <w:right w:type="dxa" w:w="110"/>
            </w:tcMar>
            <w:vAlign w:val="top"/>
          </w:tcPr>
          <w:p>
            <w:pPr>
              <w:spacing w:after="0"/>
            </w:pPr>
            <w:r>
              <w:rPr>
                <w:rFonts w:ascii="Arial" w:cs="Arial" w:eastAsia="Arial" w:hAnsi="Arial"/>
                <w:b/>
                <w:bCs/>
                <w:color w:val="FFFFFF"/>
                <w:sz w:val="19"/>
                <w:szCs w:val="19"/>
              </w:rPr>
              <w:t xml:space="preserve">Who / method</w:t>
            </w:r>
          </w:p>
        </w:tc>
        <w:tc>
          <w:tcPr>
            <w:tcW w:type="dxa" w:w="6160"/>
            <w:tcBorders>
              <w:top w:val="single" w:color="D8E0E8" w:sz="2"/>
              <w:left w:val="single" w:color="D8E0E8" w:sz="2"/>
              <w:bottom w:val="single" w:color="D8E0E8" w:sz="2"/>
              <w:right w:val="single" w:color="D8E0E8" w:sz="2"/>
            </w:tcBorders>
            <w:shd w:fill="1B3A52" w:val="clear"/>
            <w:tcMar>
              <w:top w:type="dxa" w:w="70"/>
              <w:left w:type="dxa" w:w="110"/>
              <w:bottom w:type="dxa" w:w="70"/>
              <w:right w:type="dxa" w:w="110"/>
            </w:tcMar>
            <w:vAlign w:val="top"/>
          </w:tcPr>
          <w:p>
            <w:pPr>
              <w:spacing w:after="0"/>
            </w:pPr>
            <w:r>
              <w:rPr>
                <w:rFonts w:ascii="Arial" w:cs="Arial" w:eastAsia="Arial" w:hAnsi="Arial"/>
                <w:b/>
                <w:bCs/>
                <w:color w:val="FFFFFF"/>
                <w:sz w:val="19"/>
                <w:szCs w:val="19"/>
              </w:rPr>
              <w:t xml:space="preserve">Purpose / summary</w:t>
            </w:r>
          </w:p>
        </w:tc>
      </w:tr>
      <w:tr>
        <w:tc>
          <w:tcPr>
            <w:tcW w:type="dxa" w:w="1456"/>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 </w:t>
            </w:r>
          </w:p>
        </w:tc>
        <w:tc>
          <w:tcPr>
            <w:tcW w:type="dxa" w:w="2464"/>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 </w:t>
            </w:r>
          </w:p>
        </w:tc>
        <w:tc>
          <w:tcPr>
            <w:tcW w:type="dxa" w:w="6160"/>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 </w:t>
            </w:r>
          </w:p>
        </w:tc>
      </w:tr>
      <w:tr>
        <w:tc>
          <w:tcPr>
            <w:tcW w:type="dxa" w:w="1456"/>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 </w:t>
            </w:r>
          </w:p>
        </w:tc>
        <w:tc>
          <w:tcPr>
            <w:tcW w:type="dxa" w:w="2464"/>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 </w:t>
            </w:r>
          </w:p>
        </w:tc>
        <w:tc>
          <w:tcPr>
            <w:tcW w:type="dxa" w:w="6160"/>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 </w:t>
            </w:r>
          </w:p>
        </w:tc>
      </w:tr>
      <w:tr>
        <w:tc>
          <w:tcPr>
            <w:tcW w:type="dxa" w:w="1456"/>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 </w:t>
            </w:r>
          </w:p>
        </w:tc>
        <w:tc>
          <w:tcPr>
            <w:tcW w:type="dxa" w:w="2464"/>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 </w:t>
            </w:r>
          </w:p>
        </w:tc>
        <w:tc>
          <w:tcPr>
            <w:tcW w:type="dxa" w:w="6160"/>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 </w:t>
            </w:r>
          </w:p>
        </w:tc>
      </w:tr>
      <w:tr>
        <w:tc>
          <w:tcPr>
            <w:tcW w:type="dxa" w:w="1456"/>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 </w:t>
            </w:r>
          </w:p>
        </w:tc>
        <w:tc>
          <w:tcPr>
            <w:tcW w:type="dxa" w:w="2464"/>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 </w:t>
            </w:r>
          </w:p>
        </w:tc>
        <w:tc>
          <w:tcPr>
            <w:tcW w:type="dxa" w:w="6160"/>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 </w:t>
            </w:r>
          </w:p>
        </w:tc>
      </w:tr>
      <w:tr>
        <w:tc>
          <w:tcPr>
            <w:tcW w:type="dxa" w:w="1456"/>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 </w:t>
            </w:r>
          </w:p>
        </w:tc>
        <w:tc>
          <w:tcPr>
            <w:tcW w:type="dxa" w:w="2464"/>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 </w:t>
            </w:r>
          </w:p>
        </w:tc>
        <w:tc>
          <w:tcPr>
            <w:tcW w:type="dxa" w:w="6160"/>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 </w:t>
            </w:r>
          </w:p>
        </w:tc>
      </w:tr>
      <w:tr>
        <w:tc>
          <w:tcPr>
            <w:tcW w:type="dxa" w:w="1456"/>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 </w:t>
            </w:r>
          </w:p>
        </w:tc>
        <w:tc>
          <w:tcPr>
            <w:tcW w:type="dxa" w:w="2464"/>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 </w:t>
            </w:r>
          </w:p>
        </w:tc>
        <w:tc>
          <w:tcPr>
            <w:tcW w:type="dxa" w:w="6160"/>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 </w:t>
            </w:r>
          </w:p>
        </w:tc>
      </w:tr>
    </w:tbl>
    <w:p>
      <w:pPr>
        <w:spacing w:after="160"/>
      </w:pPr>
      <w:r>
        <w:rPr>
          <w:rFonts w:ascii="Arial" w:cs="Arial" w:eastAsia="Arial" w:hAnsi="Arial"/>
          <w:color w:val="22303C"/>
          <w:sz w:val="8"/>
          <w:szCs w:val="8"/>
        </w:rPr>
        <w:t xml:space="preserve"> </w:t>
      </w:r>
    </w:p>
    <w:p>
      <w:pPr>
        <w:keepNext/>
        <w:spacing w:after="100" w:before="220"/>
      </w:pPr>
      <w:r>
        <w:rPr>
          <w:rFonts w:ascii="Arial" w:cs="Arial" w:eastAsia="Arial" w:hAnsi="Arial"/>
          <w:b/>
          <w:bCs/>
          <w:color w:val="1B3A52"/>
          <w:sz w:val="22"/>
          <w:szCs w:val="22"/>
        </w:rPr>
        <w:t xml:space="preserve">Part 7 — Return-to-Work Review</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907"/>
        <w:gridCol w:w="6552"/>
        <w:gridCol w:w="2621"/>
      </w:tblGrid>
      <w:tr>
        <w:trPr>
          <w:tblHeader/>
        </w:trPr>
        <w:tc>
          <w:tcPr>
            <w:tcW w:type="dxa" w:w="907"/>
            <w:tcBorders>
              <w:top w:val="single" w:color="D8E0E8" w:sz="2"/>
              <w:left w:val="single" w:color="D8E0E8" w:sz="2"/>
              <w:bottom w:val="single" w:color="D8E0E8" w:sz="2"/>
              <w:right w:val="single" w:color="D8E0E8" w:sz="2"/>
            </w:tcBorders>
            <w:shd w:fill="1B3A52" w:val="clear"/>
            <w:tcMar>
              <w:top w:type="dxa" w:w="70"/>
              <w:left w:type="dxa" w:w="110"/>
              <w:bottom w:type="dxa" w:w="70"/>
              <w:right w:type="dxa" w:w="110"/>
            </w:tcMar>
            <w:vAlign w:val="top"/>
          </w:tcPr>
          <w:p>
            <w:pPr>
              <w:spacing w:after="0"/>
            </w:pPr>
            <w:r>
              <w:rPr>
                <w:rFonts w:ascii="Arial" w:cs="Arial" w:eastAsia="Arial" w:hAnsi="Arial"/>
                <w:b/>
                <w:bCs/>
                <w:color w:val="FFFFFF"/>
                <w:sz w:val="19"/>
                <w:szCs w:val="19"/>
              </w:rPr>
              <w:t xml:space="preserve">Done</w:t>
            </w:r>
          </w:p>
        </w:tc>
        <w:tc>
          <w:tcPr>
            <w:tcW w:type="dxa" w:w="6552"/>
            <w:tcBorders>
              <w:top w:val="single" w:color="D8E0E8" w:sz="2"/>
              <w:left w:val="single" w:color="D8E0E8" w:sz="2"/>
              <w:bottom w:val="single" w:color="D8E0E8" w:sz="2"/>
              <w:right w:val="single" w:color="D8E0E8" w:sz="2"/>
            </w:tcBorders>
            <w:shd w:fill="1B3A52" w:val="clear"/>
            <w:tcMar>
              <w:top w:type="dxa" w:w="70"/>
              <w:left w:type="dxa" w:w="110"/>
              <w:bottom w:type="dxa" w:w="70"/>
              <w:right w:type="dxa" w:w="110"/>
            </w:tcMar>
            <w:vAlign w:val="top"/>
          </w:tcPr>
          <w:p>
            <w:pPr>
              <w:spacing w:after="0"/>
            </w:pPr>
            <w:r>
              <w:rPr>
                <w:rFonts w:ascii="Arial" w:cs="Arial" w:eastAsia="Arial" w:hAnsi="Arial"/>
                <w:b/>
                <w:bCs/>
                <w:color w:val="FFFFFF"/>
                <w:sz w:val="19"/>
                <w:szCs w:val="19"/>
              </w:rPr>
              <w:t xml:space="preserve">Return step</w:t>
            </w:r>
          </w:p>
        </w:tc>
        <w:tc>
          <w:tcPr>
            <w:tcW w:type="dxa" w:w="2621"/>
            <w:tcBorders>
              <w:top w:val="single" w:color="D8E0E8" w:sz="2"/>
              <w:left w:val="single" w:color="D8E0E8" w:sz="2"/>
              <w:bottom w:val="single" w:color="D8E0E8" w:sz="2"/>
              <w:right w:val="single" w:color="D8E0E8" w:sz="2"/>
            </w:tcBorders>
            <w:shd w:fill="1B3A52" w:val="clear"/>
            <w:tcMar>
              <w:top w:type="dxa" w:w="70"/>
              <w:left w:type="dxa" w:w="110"/>
              <w:bottom w:type="dxa" w:w="70"/>
              <w:right w:type="dxa" w:w="110"/>
            </w:tcMar>
            <w:vAlign w:val="top"/>
          </w:tcPr>
          <w:p>
            <w:pPr>
              <w:spacing w:after="0"/>
            </w:pPr>
            <w:r>
              <w:rPr>
                <w:rFonts w:ascii="Arial" w:cs="Arial" w:eastAsia="Arial" w:hAnsi="Arial"/>
                <w:b/>
                <w:bCs/>
                <w:color w:val="FFFFFF"/>
                <w:sz w:val="19"/>
                <w:szCs w:val="19"/>
              </w:rPr>
              <w:t xml:space="preserve">Date / notes</w:t>
            </w:r>
          </w:p>
        </w:tc>
      </w:tr>
      <w:tr>
        <w:tc>
          <w:tcPr>
            <w:tcW w:type="dxa" w:w="907"/>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jc w:val="center"/>
            </w:pPr>
            <w:r>
              <w:rPr>
                <w:rFonts w:ascii="Arial" w:cs="Arial" w:eastAsia="Arial" w:hAnsi="Arial"/>
                <w:color w:val="4A5A6A"/>
                <w:sz w:val="26"/>
                <w:szCs w:val="26"/>
              </w:rPr>
              <w:t xml:space="preserve">☐</w:t>
            </w:r>
          </w:p>
        </w:tc>
        <w:tc>
          <w:tcPr>
            <w:tcW w:type="dxa" w:w="6552"/>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Current work status confirmed with provider documentation</w:t>
            </w:r>
          </w:p>
        </w:tc>
        <w:tc>
          <w:tcPr>
            <w:tcW w:type="dxa" w:w="2621"/>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 </w:t>
            </w:r>
          </w:p>
        </w:tc>
      </w:tr>
      <w:tr>
        <w:tc>
          <w:tcPr>
            <w:tcW w:type="dxa" w:w="907"/>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jc w:val="center"/>
            </w:pPr>
            <w:r>
              <w:rPr>
                <w:rFonts w:ascii="Arial" w:cs="Arial" w:eastAsia="Arial" w:hAnsi="Arial"/>
                <w:color w:val="4A5A6A"/>
                <w:sz w:val="26"/>
                <w:szCs w:val="26"/>
              </w:rPr>
              <w:t xml:space="preserve">☐</w:t>
            </w:r>
          </w:p>
        </w:tc>
        <w:tc>
          <w:tcPr>
            <w:tcW w:type="dxa" w:w="6552"/>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Restrictions ended or updated — supervisor re-briefed</w:t>
            </w:r>
          </w:p>
        </w:tc>
        <w:tc>
          <w:tcPr>
            <w:tcW w:type="dxa" w:w="2621"/>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 </w:t>
            </w:r>
          </w:p>
        </w:tc>
      </w:tr>
      <w:tr>
        <w:tc>
          <w:tcPr>
            <w:tcW w:type="dxa" w:w="907"/>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jc w:val="center"/>
            </w:pPr>
            <w:r>
              <w:rPr>
                <w:rFonts w:ascii="Arial" w:cs="Arial" w:eastAsia="Arial" w:hAnsi="Arial"/>
                <w:color w:val="4A5A6A"/>
                <w:sz w:val="26"/>
                <w:szCs w:val="26"/>
              </w:rPr>
              <w:t xml:space="preserve">☐</w:t>
            </w:r>
          </w:p>
        </w:tc>
        <w:tc>
          <w:tcPr>
            <w:tcW w:type="dxa" w:w="6552"/>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If restrictions became permanent: ADA interactive process opened</w:t>
            </w:r>
          </w:p>
        </w:tc>
        <w:tc>
          <w:tcPr>
            <w:tcW w:type="dxa" w:w="2621"/>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 </w:t>
            </w:r>
          </w:p>
        </w:tc>
      </w:tr>
      <w:tr>
        <w:tc>
          <w:tcPr>
            <w:tcW w:type="dxa" w:w="907"/>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jc w:val="center"/>
            </w:pPr>
            <w:r>
              <w:rPr>
                <w:rFonts w:ascii="Arial" w:cs="Arial" w:eastAsia="Arial" w:hAnsi="Arial"/>
                <w:color w:val="4A5A6A"/>
                <w:sz w:val="26"/>
                <w:szCs w:val="26"/>
              </w:rPr>
              <w:t xml:space="preserve">☐</w:t>
            </w:r>
          </w:p>
        </w:tc>
        <w:tc>
          <w:tcPr>
            <w:tcW w:type="dxa" w:w="6552"/>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Any staffing/schedule decision about this employee reviewed for Ch. 451 retaliation risk</w:t>
            </w:r>
          </w:p>
        </w:tc>
        <w:tc>
          <w:tcPr>
            <w:tcW w:type="dxa" w:w="2621"/>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 </w:t>
            </w:r>
          </w:p>
        </w:tc>
      </w:tr>
      <w:tr>
        <w:tc>
          <w:tcPr>
            <w:tcW w:type="dxa" w:w="907"/>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jc w:val="center"/>
            </w:pPr>
            <w:r>
              <w:rPr>
                <w:rFonts w:ascii="Arial" w:cs="Arial" w:eastAsia="Arial" w:hAnsi="Arial"/>
                <w:color w:val="4A5A6A"/>
                <w:sz w:val="26"/>
                <w:szCs w:val="26"/>
              </w:rPr>
              <w:t xml:space="preserve">☐</w:t>
            </w:r>
          </w:p>
        </w:tc>
        <w:tc>
          <w:tcPr>
            <w:tcW w:type="dxa" w:w="6552"/>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File complete: injury report, statements, restrictions, offers, log</w:t>
            </w:r>
          </w:p>
        </w:tc>
        <w:tc>
          <w:tcPr>
            <w:tcW w:type="dxa" w:w="2621"/>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 </w:t>
            </w:r>
          </w:p>
        </w:tc>
      </w:tr>
    </w:tbl>
    <w:p>
      <w:pPr>
        <w:spacing w:after="160"/>
      </w:pPr>
      <w:r>
        <w:rPr>
          <w:rFonts w:ascii="Arial" w:cs="Arial" w:eastAsia="Arial" w:hAnsi="Arial"/>
          <w:color w:val="22303C"/>
          <w:sz w:val="8"/>
          <w:szCs w:val="8"/>
        </w:rPr>
        <w:t xml:space="preserve"> </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3225"/>
        <w:gridCol w:w="4636"/>
        <w:gridCol w:w="2219"/>
      </w:tblGrid>
      <w:tr>
        <w:trPr>
          <w:tblHeader/>
        </w:trPr>
        <w:tc>
          <w:tcPr>
            <w:tcW w:type="dxa" w:w="3225"/>
            <w:tcBorders>
              <w:top w:val="single" w:color="D8E0E8" w:sz="2"/>
              <w:left w:val="single" w:color="D8E0E8" w:sz="2"/>
              <w:bottom w:val="single" w:color="D8E0E8" w:sz="2"/>
              <w:right w:val="single" w:color="D8E0E8" w:sz="2"/>
            </w:tcBorders>
            <w:shd w:fill="1B3A52" w:val="clear"/>
            <w:tcMar>
              <w:top w:type="dxa" w:w="70"/>
              <w:left w:type="dxa" w:w="110"/>
              <w:bottom w:type="dxa" w:w="70"/>
              <w:right w:type="dxa" w:w="110"/>
            </w:tcMar>
            <w:vAlign w:val="top"/>
          </w:tcPr>
          <w:p>
            <w:pPr>
              <w:spacing w:after="0"/>
            </w:pPr>
            <w:r>
              <w:rPr>
                <w:rFonts w:ascii="Arial" w:cs="Arial" w:eastAsia="Arial" w:hAnsi="Arial"/>
                <w:b/>
                <w:bCs/>
                <w:color w:val="FFFFFF"/>
                <w:sz w:val="19"/>
                <w:szCs w:val="19"/>
              </w:rPr>
              <w:t xml:space="preserve">Role</w:t>
            </w:r>
          </w:p>
        </w:tc>
        <w:tc>
          <w:tcPr>
            <w:tcW w:type="dxa" w:w="4636"/>
            <w:tcBorders>
              <w:top w:val="single" w:color="D8E0E8" w:sz="2"/>
              <w:left w:val="single" w:color="D8E0E8" w:sz="2"/>
              <w:bottom w:val="single" w:color="D8E0E8" w:sz="2"/>
              <w:right w:val="single" w:color="D8E0E8" w:sz="2"/>
            </w:tcBorders>
            <w:shd w:fill="1B3A52" w:val="clear"/>
            <w:tcMar>
              <w:top w:type="dxa" w:w="70"/>
              <w:left w:type="dxa" w:w="110"/>
              <w:bottom w:type="dxa" w:w="70"/>
              <w:right w:type="dxa" w:w="110"/>
            </w:tcMar>
            <w:vAlign w:val="top"/>
          </w:tcPr>
          <w:p>
            <w:pPr>
              <w:spacing w:after="0"/>
            </w:pPr>
            <w:r>
              <w:rPr>
                <w:rFonts w:ascii="Arial" w:cs="Arial" w:eastAsia="Arial" w:hAnsi="Arial"/>
                <w:b/>
                <w:bCs/>
                <w:color w:val="FFFFFF"/>
                <w:sz w:val="19"/>
                <w:szCs w:val="19"/>
              </w:rPr>
              <w:t xml:space="preserve">Name / signature</w:t>
            </w:r>
          </w:p>
        </w:tc>
        <w:tc>
          <w:tcPr>
            <w:tcW w:type="dxa" w:w="2219"/>
            <w:tcBorders>
              <w:top w:val="single" w:color="D8E0E8" w:sz="2"/>
              <w:left w:val="single" w:color="D8E0E8" w:sz="2"/>
              <w:bottom w:val="single" w:color="D8E0E8" w:sz="2"/>
              <w:right w:val="single" w:color="D8E0E8" w:sz="2"/>
            </w:tcBorders>
            <w:shd w:fill="1B3A52" w:val="clear"/>
            <w:tcMar>
              <w:top w:type="dxa" w:w="70"/>
              <w:left w:type="dxa" w:w="110"/>
              <w:bottom w:type="dxa" w:w="70"/>
              <w:right w:type="dxa" w:w="110"/>
            </w:tcMar>
            <w:vAlign w:val="top"/>
          </w:tcPr>
          <w:p>
            <w:pPr>
              <w:spacing w:after="0"/>
            </w:pPr>
            <w:r>
              <w:rPr>
                <w:rFonts w:ascii="Arial" w:cs="Arial" w:eastAsia="Arial" w:hAnsi="Arial"/>
                <w:b/>
                <w:bCs/>
                <w:color w:val="FFFFFF"/>
                <w:sz w:val="19"/>
                <w:szCs w:val="19"/>
              </w:rPr>
              <w:t xml:space="preserve">Date</w:t>
            </w:r>
          </w:p>
        </w:tc>
      </w:tr>
      <w:tr>
        <w:tc>
          <w:tcPr>
            <w:tcW w:type="dxa" w:w="3225"/>
            <w:tcBorders>
              <w:top w:val="single" w:color="D8E0E8" w:sz="2"/>
              <w:left w:val="single" w:color="D8E0E8" w:sz="2"/>
              <w:bottom w:val="single" w:color="D8E0E8" w:sz="2"/>
              <w:right w:val="single" w:color="D8E0E8" w:sz="2"/>
            </w:tcBorders>
            <w:shd w:fill="F0F4F8" w:val="clear"/>
            <w:tcMar>
              <w:top w:type="dxa" w:w="70"/>
              <w:left w:type="dxa" w:w="110"/>
              <w:bottom w:type="dxa" w:w="70"/>
              <w:right w:type="dxa" w:w="110"/>
            </w:tcMar>
            <w:vAlign w:val="top"/>
          </w:tcPr>
          <w:p>
            <w:pPr>
              <w:spacing w:after="0"/>
            </w:pPr>
            <w:r>
              <w:rPr>
                <w:rFonts w:ascii="Arial" w:cs="Arial" w:eastAsia="Arial" w:hAnsi="Arial"/>
                <w:b/>
                <w:bCs/>
                <w:color w:val="1B3A52"/>
                <w:sz w:val="20"/>
                <w:szCs w:val="20"/>
              </w:rPr>
              <w:t xml:space="preserve">Managed by</w:t>
            </w:r>
          </w:p>
        </w:tc>
        <w:tc>
          <w:tcPr>
            <w:tcW w:type="dxa" w:w="4636"/>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before="240"/>
            </w:pPr>
            <w:r>
              <w:rPr>
                <w:rFonts w:ascii="Arial" w:cs="Arial" w:eastAsia="Arial" w:hAnsi="Arial"/>
                <w:color w:val="22303C"/>
                <w:sz w:val="20"/>
                <w:szCs w:val="20"/>
              </w:rPr>
              <w:t xml:space="preserve"> </w:t>
            </w:r>
          </w:p>
        </w:tc>
        <w:tc>
          <w:tcPr>
            <w:tcW w:type="dxa" w:w="2219"/>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before="240"/>
            </w:pPr>
            <w:r>
              <w:rPr>
                <w:rFonts w:ascii="Arial" w:cs="Arial" w:eastAsia="Arial" w:hAnsi="Arial"/>
                <w:color w:val="22303C"/>
                <w:sz w:val="20"/>
                <w:szCs w:val="20"/>
              </w:rPr>
              <w:t xml:space="preserve"> </w:t>
            </w:r>
          </w:p>
        </w:tc>
      </w:tr>
      <w:tr>
        <w:tc>
          <w:tcPr>
            <w:tcW w:type="dxa" w:w="3225"/>
            <w:tcBorders>
              <w:top w:val="single" w:color="D8E0E8" w:sz="2"/>
              <w:left w:val="single" w:color="D8E0E8" w:sz="2"/>
              <w:bottom w:val="single" w:color="D8E0E8" w:sz="2"/>
              <w:right w:val="single" w:color="D8E0E8" w:sz="2"/>
            </w:tcBorders>
            <w:shd w:fill="F0F4F8" w:val="clear"/>
            <w:tcMar>
              <w:top w:type="dxa" w:w="70"/>
              <w:left w:type="dxa" w:w="110"/>
              <w:bottom w:type="dxa" w:w="70"/>
              <w:right w:type="dxa" w:w="110"/>
            </w:tcMar>
            <w:vAlign w:val="top"/>
          </w:tcPr>
          <w:p>
            <w:pPr>
              <w:spacing w:after="0"/>
            </w:pPr>
            <w:r>
              <w:rPr>
                <w:rFonts w:ascii="Arial" w:cs="Arial" w:eastAsia="Arial" w:hAnsi="Arial"/>
                <w:b/>
                <w:bCs/>
                <w:color w:val="1B3A52"/>
                <w:sz w:val="20"/>
                <w:szCs w:val="20"/>
              </w:rPr>
              <w:t xml:space="preserve">Reviewed by</w:t>
            </w:r>
          </w:p>
        </w:tc>
        <w:tc>
          <w:tcPr>
            <w:tcW w:type="dxa" w:w="4636"/>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before="240"/>
            </w:pPr>
            <w:r>
              <w:rPr>
                <w:rFonts w:ascii="Arial" w:cs="Arial" w:eastAsia="Arial" w:hAnsi="Arial"/>
                <w:color w:val="22303C"/>
                <w:sz w:val="20"/>
                <w:szCs w:val="20"/>
              </w:rPr>
              <w:t xml:space="preserve"> </w:t>
            </w:r>
          </w:p>
        </w:tc>
        <w:tc>
          <w:tcPr>
            <w:tcW w:type="dxa" w:w="2219"/>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before="240"/>
            </w:pPr>
            <w:r>
              <w:rPr>
                <w:rFonts w:ascii="Arial" w:cs="Arial" w:eastAsia="Arial" w:hAnsi="Arial"/>
                <w:color w:val="22303C"/>
                <w:sz w:val="20"/>
                <w:szCs w:val="20"/>
              </w:rPr>
              <w:t xml:space="preserve"> </w:t>
            </w:r>
          </w:p>
        </w:tc>
      </w:tr>
    </w:tbl>
    <w:p>
      <w:pPr>
        <w:spacing w:after="160"/>
      </w:pPr>
      <w:r>
        <w:rPr>
          <w:rFonts w:ascii="Arial" w:cs="Arial" w:eastAsia="Arial" w:hAnsi="Arial"/>
          <w:color w:val="22303C"/>
          <w:sz w:val="8"/>
          <w:szCs w:val="8"/>
        </w:rPr>
        <w:t xml:space="preserve"> </w:t>
      </w:r>
    </w:p>
    <w:p>
      <w:pPr>
        <w:keepNext/>
        <w:pBdr>
          <w:bottom w:val="single" w:color="C49A3C" w:sz="8" w:space="3"/>
        </w:pBdr>
        <w:spacing w:after="140" w:before="320"/>
      </w:pPr>
      <w:r>
        <w:rPr>
          <w:rFonts w:ascii="Arial" w:cs="Arial" w:eastAsia="Arial" w:hAnsi="Arial"/>
          <w:b/>
          <w:bCs/>
          <w:color w:val="1B3A52"/>
          <w:spacing w:val="20"/>
          <w:sz w:val="24"/>
          <w:szCs w:val="24"/>
        </w:rPr>
        <w:t xml:space="preserve">STOP AND REVIEW BEFORE ACTING</w:t>
      </w:r>
    </w:p>
    <w:p>
      <w:pPr>
        <w:spacing w:after="140" w:line="288"/>
      </w:pPr>
      <w:r>
        <w:rPr>
          <w:rFonts w:ascii="Arial" w:cs="Arial" w:eastAsia="Arial" w:hAnsi="Arial"/>
          <w:color w:val="4A5A6A"/>
          <w:sz w:val="20"/>
          <w:szCs w:val="20"/>
        </w:rPr>
        <w:t xml:space="preserve">If any statement below is true, pause. Get the decision reviewed by HR, counsel, or Faulkner HR Solutions before you act.</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single" w:color="D8E0E8" w:sz="2"/>
              <w:left w:val="single" w:color="B33A3A" w:sz="24"/>
              <w:bottom w:val="single" w:color="D8E0E8" w:sz="2"/>
              <w:right w:val="single" w:color="D8E0E8" w:sz="2"/>
            </w:tcBorders>
            <w:shd w:fill="FBF1F1" w:val="clear"/>
            <w:tcMar>
              <w:top w:type="dxa" w:w="140"/>
              <w:left w:type="dxa" w:w="180"/>
              <w:bottom w:type="dxa" w:w="140"/>
              <w:right w:type="dxa" w:w="180"/>
            </w:tcMar>
          </w:tcPr>
          <w:p>
            <w:pPr>
              <w:spacing w:after="90" w:line="288"/>
            </w:pPr>
            <w:r>
              <w:rPr>
                <w:rFonts w:ascii="Arial" w:cs="Arial" w:eastAsia="Arial" w:hAnsi="Arial"/>
                <w:color w:val="B33A3A"/>
                <w:sz w:val="24"/>
                <w:szCs w:val="24"/>
              </w:rPr>
              <w:t xml:space="preserve">☐  </w:t>
            </w:r>
            <w:r>
              <w:rPr>
                <w:rFonts w:ascii="Arial" w:cs="Arial" w:eastAsia="Arial" w:hAnsi="Arial"/>
                <w:color w:val="22303C"/>
                <w:sz w:val="20"/>
                <w:szCs w:val="20"/>
              </w:rPr>
              <w:t xml:space="preserve">Anyone has suggested the injury 'didn't happen at work' without investigating.</w:t>
            </w:r>
          </w:p>
          <w:p>
            <w:pPr>
              <w:spacing w:after="90" w:line="288"/>
            </w:pPr>
            <w:r>
              <w:rPr>
                <w:rFonts w:ascii="Arial" w:cs="Arial" w:eastAsia="Arial" w:hAnsi="Arial"/>
                <w:color w:val="B33A3A"/>
                <w:sz w:val="24"/>
                <w:szCs w:val="24"/>
              </w:rPr>
              <w:t xml:space="preserve">☐  </w:t>
            </w:r>
            <w:r>
              <w:rPr>
                <w:rFonts w:ascii="Arial" w:cs="Arial" w:eastAsia="Arial" w:hAnsi="Arial"/>
                <w:color w:val="22303C"/>
                <w:sz w:val="20"/>
                <w:szCs w:val="20"/>
              </w:rPr>
              <w:t xml:space="preserve">The employee filed a comp claim and discipline is suddenly under discussion.</w:t>
            </w:r>
          </w:p>
          <w:p>
            <w:pPr>
              <w:spacing w:after="90" w:line="288"/>
            </w:pPr>
            <w:r>
              <w:rPr>
                <w:rFonts w:ascii="Arial" w:cs="Arial" w:eastAsia="Arial" w:hAnsi="Arial"/>
                <w:color w:val="B33A3A"/>
                <w:sz w:val="24"/>
                <w:szCs w:val="24"/>
              </w:rPr>
              <w:t xml:space="preserve">☐  </w:t>
            </w:r>
            <w:r>
              <w:rPr>
                <w:rFonts w:ascii="Arial" w:cs="Arial" w:eastAsia="Arial" w:hAnsi="Arial"/>
                <w:color w:val="22303C"/>
                <w:sz w:val="20"/>
                <w:szCs w:val="20"/>
              </w:rPr>
              <w:t xml:space="preserve">Light duty is being designed to be unpleasant so the employee will quit.</w:t>
            </w:r>
          </w:p>
          <w:p>
            <w:pPr>
              <w:spacing w:after="90" w:line="288"/>
            </w:pPr>
            <w:r>
              <w:rPr>
                <w:rFonts w:ascii="Arial" w:cs="Arial" w:eastAsia="Arial" w:hAnsi="Arial"/>
                <w:color w:val="B33A3A"/>
                <w:sz w:val="24"/>
                <w:szCs w:val="24"/>
              </w:rPr>
              <w:t xml:space="preserve">☐  </w:t>
            </w:r>
            <w:r>
              <w:rPr>
                <w:rFonts w:ascii="Arial" w:cs="Arial" w:eastAsia="Arial" w:hAnsi="Arial"/>
                <w:color w:val="22303C"/>
                <w:sz w:val="20"/>
                <w:szCs w:val="20"/>
              </w:rPr>
              <w:t xml:space="preserve">Restrictions are being ignored on the floor 'because we're short-handed.'</w:t>
            </w:r>
          </w:p>
          <w:p>
            <w:pPr>
              <w:spacing w:after="90" w:line="288"/>
            </w:pPr>
            <w:r>
              <w:rPr>
                <w:rFonts w:ascii="Arial" w:cs="Arial" w:eastAsia="Arial" w:hAnsi="Arial"/>
                <w:color w:val="B33A3A"/>
                <w:sz w:val="24"/>
                <w:szCs w:val="24"/>
              </w:rPr>
              <w:t xml:space="preserve">☐  </w:t>
            </w:r>
            <w:r>
              <w:rPr>
                <w:rFonts w:ascii="Arial" w:cs="Arial" w:eastAsia="Arial" w:hAnsi="Arial"/>
                <w:color w:val="22303C"/>
                <w:sz w:val="20"/>
                <w:szCs w:val="20"/>
              </w:rPr>
              <w:t xml:space="preserve">The employee has heard nothing from the employer in over two weeks.</w:t>
            </w:r>
          </w:p>
          <w:p>
            <w:pPr>
              <w:spacing w:after="0" w:line="288"/>
            </w:pPr>
            <w:r>
              <w:rPr>
                <w:rFonts w:ascii="Arial" w:cs="Arial" w:eastAsia="Arial" w:hAnsi="Arial"/>
                <w:color w:val="B33A3A"/>
                <w:sz w:val="24"/>
                <w:szCs w:val="24"/>
              </w:rPr>
              <w:t xml:space="preserve">☐  </w:t>
            </w:r>
            <w:r>
              <w:rPr>
                <w:rFonts w:ascii="Arial" w:cs="Arial" w:eastAsia="Arial" w:hAnsi="Arial"/>
                <w:color w:val="22303C"/>
                <w:sz w:val="20"/>
                <w:szCs w:val="20"/>
              </w:rPr>
              <w:t xml:space="preserve">Termination of an injured worker is proposed while the claim is open.</w:t>
            </w:r>
          </w:p>
        </w:tc>
      </w:tr>
    </w:tbl>
    <w:p>
      <w:pPr>
        <w:keepNext/>
        <w:pBdr>
          <w:bottom w:val="single" w:color="C49A3C" w:sz="8" w:space="3"/>
        </w:pBdr>
        <w:spacing w:after="140" w:before="320"/>
      </w:pPr>
      <w:r>
        <w:rPr>
          <w:rFonts w:ascii="Arial" w:cs="Arial" w:eastAsia="Arial" w:hAnsi="Arial"/>
          <w:b/>
          <w:bCs/>
          <w:color w:val="1B3A52"/>
          <w:spacing w:val="20"/>
          <w:sz w:val="24"/>
          <w:szCs w:val="24"/>
        </w:rPr>
        <w:t xml:space="preserve">MINIMUM DOCUMENTATION STANDARD</w:t>
      </w:r>
    </w:p>
    <w:p>
      <w:pPr>
        <w:spacing w:after="140" w:line="288"/>
      </w:pPr>
      <w:r>
        <w:rPr>
          <w:rFonts w:ascii="Arial" w:cs="Arial" w:eastAsia="Arial" w:hAnsi="Arial"/>
          <w:color w:val="4A5A6A"/>
          <w:sz w:val="20"/>
          <w:szCs w:val="20"/>
        </w:rPr>
        <w:t xml:space="preserve">Before this file is closed, the employer should be able to answer every question below and point to where the proof lives.</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4233"/>
        <w:gridCol w:w="5847"/>
      </w:tblGrid>
      <w:tr>
        <w:trPr>
          <w:tblHeader/>
        </w:trPr>
        <w:tc>
          <w:tcPr>
            <w:tcW w:type="dxa" w:w="4233"/>
            <w:tcBorders>
              <w:top w:val="single" w:color="D8E0E8" w:sz="2"/>
              <w:left w:val="single" w:color="D8E0E8" w:sz="2"/>
              <w:bottom w:val="single" w:color="D8E0E8" w:sz="2"/>
              <w:right w:val="single" w:color="D8E0E8" w:sz="2"/>
            </w:tcBorders>
            <w:shd w:fill="1B3A52" w:val="clear"/>
            <w:tcMar>
              <w:top w:type="dxa" w:w="70"/>
              <w:left w:type="dxa" w:w="110"/>
              <w:bottom w:type="dxa" w:w="70"/>
              <w:right w:type="dxa" w:w="110"/>
            </w:tcMar>
            <w:vAlign w:val="top"/>
          </w:tcPr>
          <w:p>
            <w:pPr>
              <w:spacing w:after="0"/>
            </w:pPr>
            <w:r>
              <w:rPr>
                <w:rFonts w:ascii="Arial" w:cs="Arial" w:eastAsia="Arial" w:hAnsi="Arial"/>
                <w:b/>
                <w:bCs/>
                <w:color w:val="FFFFFF"/>
                <w:sz w:val="19"/>
                <w:szCs w:val="19"/>
              </w:rPr>
              <w:t xml:space="preserve">Question</w:t>
            </w:r>
          </w:p>
        </w:tc>
        <w:tc>
          <w:tcPr>
            <w:tcW w:type="dxa" w:w="5847"/>
            <w:tcBorders>
              <w:top w:val="single" w:color="D8E0E8" w:sz="2"/>
              <w:left w:val="single" w:color="D8E0E8" w:sz="2"/>
              <w:bottom w:val="single" w:color="D8E0E8" w:sz="2"/>
              <w:right w:val="single" w:color="D8E0E8" w:sz="2"/>
            </w:tcBorders>
            <w:shd w:fill="1B3A52" w:val="clear"/>
            <w:tcMar>
              <w:top w:type="dxa" w:w="70"/>
              <w:left w:type="dxa" w:w="110"/>
              <w:bottom w:type="dxa" w:w="70"/>
              <w:right w:type="dxa" w:w="110"/>
            </w:tcMar>
            <w:vAlign w:val="top"/>
          </w:tcPr>
          <w:p>
            <w:pPr>
              <w:spacing w:after="0"/>
            </w:pPr>
            <w:r>
              <w:rPr>
                <w:rFonts w:ascii="Arial" w:cs="Arial" w:eastAsia="Arial" w:hAnsi="Arial"/>
                <w:b/>
                <w:bCs/>
                <w:color w:val="FFFFFF"/>
                <w:sz w:val="19"/>
                <w:szCs w:val="19"/>
              </w:rPr>
              <w:t xml:space="preserve">Your answer / where the proof is stored</w:t>
            </w:r>
          </w:p>
        </w:tc>
      </w:tr>
      <w:tr>
        <w:tc>
          <w:tcPr>
            <w:tcW w:type="dxa" w:w="4233"/>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What happened?</w:t>
            </w:r>
          </w:p>
        </w:tc>
        <w:tc>
          <w:tcPr>
            <w:tcW w:type="dxa" w:w="5847"/>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 </w:t>
            </w:r>
          </w:p>
        </w:tc>
      </w:tr>
      <w:tr>
        <w:tc>
          <w:tcPr>
            <w:tcW w:type="dxa" w:w="4233"/>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When did it happen?</w:t>
            </w:r>
          </w:p>
        </w:tc>
        <w:tc>
          <w:tcPr>
            <w:tcW w:type="dxa" w:w="5847"/>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 </w:t>
            </w:r>
          </w:p>
        </w:tc>
      </w:tr>
      <w:tr>
        <w:tc>
          <w:tcPr>
            <w:tcW w:type="dxa" w:w="4233"/>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Who observed or reported it?</w:t>
            </w:r>
          </w:p>
        </w:tc>
        <w:tc>
          <w:tcPr>
            <w:tcW w:type="dxa" w:w="5847"/>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 </w:t>
            </w:r>
          </w:p>
        </w:tc>
      </w:tr>
      <w:tr>
        <w:tc>
          <w:tcPr>
            <w:tcW w:type="dxa" w:w="4233"/>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What policy, standard, deadline, or expectation applies?</w:t>
            </w:r>
          </w:p>
        </w:tc>
        <w:tc>
          <w:tcPr>
            <w:tcW w:type="dxa" w:w="5847"/>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 </w:t>
            </w:r>
          </w:p>
        </w:tc>
      </w:tr>
      <w:tr>
        <w:tc>
          <w:tcPr>
            <w:tcW w:type="dxa" w:w="4233"/>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What decision was made?</w:t>
            </w:r>
          </w:p>
        </w:tc>
        <w:tc>
          <w:tcPr>
            <w:tcW w:type="dxa" w:w="5847"/>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 </w:t>
            </w:r>
          </w:p>
        </w:tc>
      </w:tr>
      <w:tr>
        <w:tc>
          <w:tcPr>
            <w:tcW w:type="dxa" w:w="4233"/>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Who had authority to make the decision?</w:t>
            </w:r>
          </w:p>
        </w:tc>
        <w:tc>
          <w:tcPr>
            <w:tcW w:type="dxa" w:w="5847"/>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 </w:t>
            </w:r>
          </w:p>
        </w:tc>
      </w:tr>
      <w:tr>
        <w:tc>
          <w:tcPr>
            <w:tcW w:type="dxa" w:w="4233"/>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What alternatives were considered?</w:t>
            </w:r>
          </w:p>
        </w:tc>
        <w:tc>
          <w:tcPr>
            <w:tcW w:type="dxa" w:w="5847"/>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 </w:t>
            </w:r>
          </w:p>
        </w:tc>
      </w:tr>
      <w:tr>
        <w:tc>
          <w:tcPr>
            <w:tcW w:type="dxa" w:w="4233"/>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What risk was reviewed?</w:t>
            </w:r>
          </w:p>
        </w:tc>
        <w:tc>
          <w:tcPr>
            <w:tcW w:type="dxa" w:w="5847"/>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 </w:t>
            </w:r>
          </w:p>
        </w:tc>
      </w:tr>
      <w:tr>
        <w:tc>
          <w:tcPr>
            <w:tcW w:type="dxa" w:w="4233"/>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What follow-up is required?</w:t>
            </w:r>
          </w:p>
        </w:tc>
        <w:tc>
          <w:tcPr>
            <w:tcW w:type="dxa" w:w="5847"/>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 </w:t>
            </w:r>
          </w:p>
        </w:tc>
      </w:tr>
      <w:tr>
        <w:tc>
          <w:tcPr>
            <w:tcW w:type="dxa" w:w="4233"/>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Where is the proof stored?</w:t>
            </w:r>
          </w:p>
        </w:tc>
        <w:tc>
          <w:tcPr>
            <w:tcW w:type="dxa" w:w="5847"/>
            <w:tcBorders>
              <w:top w:val="single" w:color="D8E0E8" w:sz="2"/>
              <w:left w:val="single" w:color="D8E0E8" w:sz="2"/>
              <w:bottom w:val="single" w:color="D8E0E8" w:sz="2"/>
              <w:right w:val="single" w:color="D8E0E8" w:sz="2"/>
            </w:tcBorders>
            <w:tcMar>
              <w:top w:type="dxa" w:w="70"/>
              <w:left w:type="dxa" w:w="110"/>
              <w:bottom w:type="dxa" w:w="70"/>
              <w:right w:type="dxa" w:w="110"/>
            </w:tcMar>
            <w:vAlign w:val="top"/>
          </w:tcPr>
          <w:p>
            <w:pPr>
              <w:spacing w:after="0"/>
            </w:pPr>
            <w:r>
              <w:rPr>
                <w:rFonts w:ascii="Arial" w:cs="Arial" w:eastAsia="Arial" w:hAnsi="Arial"/>
                <w:color w:val="22303C"/>
                <w:sz w:val="20"/>
                <w:szCs w:val="20"/>
              </w:rPr>
              <w:t xml:space="preserve"> </w:t>
            </w:r>
          </w:p>
        </w:tc>
      </w:tr>
    </w:tbl>
    <w:p>
      <w:pPr>
        <w:keepNext/>
        <w:pBdr>
          <w:bottom w:val="single" w:color="C49A3C" w:sz="8" w:space="3"/>
        </w:pBdr>
        <w:spacing w:after="140" w:before="320"/>
      </w:pPr>
      <w:r>
        <w:rPr>
          <w:rFonts w:ascii="Arial" w:cs="Arial" w:eastAsia="Arial" w:hAnsi="Arial"/>
          <w:b/>
          <w:bCs/>
          <w:color w:val="1B3A52"/>
          <w:spacing w:val="20"/>
          <w:sz w:val="24"/>
          <w:szCs w:val="24"/>
        </w:rPr>
        <w:t xml:space="preserve">COMMON MISTAKES</w:t>
      </w:r>
    </w:p>
    <w:p>
      <w:pPr>
        <w:pStyle w:val="ListParagraph"/>
        <w:numPr>
          <w:ilvl w:val="0"/>
          <w:numId w:val="3"/>
        </w:numPr>
        <w:spacing w:after="90" w:line="288"/>
      </w:pPr>
      <w:r>
        <w:rPr>
          <w:rFonts w:ascii="Arial" w:cs="Arial" w:eastAsia="Arial" w:hAnsi="Arial"/>
          <w:color w:val="22303C"/>
          <w:sz w:val="21"/>
          <w:szCs w:val="21"/>
        </w:rPr>
        <w:t xml:space="preserve">Reporting late to the carrier and turning a routine claim into a disputed one.</w:t>
      </w:r>
    </w:p>
    <w:p>
      <w:pPr>
        <w:pStyle w:val="ListParagraph"/>
        <w:numPr>
          <w:ilvl w:val="0"/>
          <w:numId w:val="3"/>
        </w:numPr>
        <w:spacing w:after="90" w:line="288"/>
      </w:pPr>
      <w:r>
        <w:rPr>
          <w:rFonts w:ascii="Arial" w:cs="Arial" w:eastAsia="Arial" w:hAnsi="Arial"/>
          <w:color w:val="22303C"/>
          <w:sz w:val="21"/>
          <w:szCs w:val="21"/>
        </w:rPr>
        <w:t xml:space="preserve">Interrogating the injured employee about fault instead of documenting facts.</w:t>
      </w:r>
    </w:p>
    <w:p>
      <w:pPr>
        <w:pStyle w:val="ListParagraph"/>
        <w:numPr>
          <w:ilvl w:val="0"/>
          <w:numId w:val="3"/>
        </w:numPr>
        <w:spacing w:after="90" w:line="288"/>
      </w:pPr>
      <w:r>
        <w:rPr>
          <w:rFonts w:ascii="Arial" w:cs="Arial" w:eastAsia="Arial" w:hAnsi="Arial"/>
          <w:color w:val="22303C"/>
          <w:sz w:val="21"/>
          <w:szCs w:val="21"/>
        </w:rPr>
        <w:t xml:space="preserve">Making light-duty offers verbally, then disputing what was offered.</w:t>
      </w:r>
    </w:p>
    <w:p>
      <w:pPr>
        <w:pStyle w:val="ListParagraph"/>
        <w:numPr>
          <w:ilvl w:val="0"/>
          <w:numId w:val="3"/>
        </w:numPr>
        <w:spacing w:after="90" w:line="288"/>
      </w:pPr>
      <w:r>
        <w:rPr>
          <w:rFonts w:ascii="Arial" w:cs="Arial" w:eastAsia="Arial" w:hAnsi="Arial"/>
          <w:color w:val="22303C"/>
          <w:sz w:val="21"/>
          <w:szCs w:val="21"/>
        </w:rPr>
        <w:t xml:space="preserve">Assigning light duty that violates the written restrictions.</w:t>
      </w:r>
    </w:p>
    <w:p>
      <w:pPr>
        <w:pStyle w:val="ListParagraph"/>
        <w:numPr>
          <w:ilvl w:val="0"/>
          <w:numId w:val="3"/>
        </w:numPr>
        <w:spacing w:after="90" w:line="288"/>
      </w:pPr>
      <w:r>
        <w:rPr>
          <w:rFonts w:ascii="Arial" w:cs="Arial" w:eastAsia="Arial" w:hAnsi="Arial"/>
          <w:color w:val="22303C"/>
          <w:sz w:val="21"/>
          <w:szCs w:val="21"/>
        </w:rPr>
        <w:t xml:space="preserve">Going silent — the injured employee who never hears from work hires a lawyer.</w:t>
      </w:r>
    </w:p>
    <w:p>
      <w:pPr>
        <w:pStyle w:val="ListParagraph"/>
        <w:numPr>
          <w:ilvl w:val="0"/>
          <w:numId w:val="3"/>
        </w:numPr>
        <w:spacing w:after="90" w:line="288"/>
      </w:pPr>
      <w:r>
        <w:rPr>
          <w:rFonts w:ascii="Arial" w:cs="Arial" w:eastAsia="Arial" w:hAnsi="Arial"/>
          <w:color w:val="22303C"/>
          <w:sz w:val="21"/>
          <w:szCs w:val="21"/>
        </w:rPr>
        <w:t xml:space="preserve">Treating a comp claim as betrayal; Chapter 451 retaliation cases are built from exactly that attitude.</w:t>
      </w:r>
    </w:p>
    <w:p>
      <w:pPr>
        <w:pStyle w:val="ListParagraph"/>
        <w:numPr>
          <w:ilvl w:val="0"/>
          <w:numId w:val="3"/>
        </w:numPr>
        <w:spacing w:after="90" w:line="288"/>
      </w:pPr>
      <w:r>
        <w:rPr>
          <w:rFonts w:ascii="Arial" w:cs="Arial" w:eastAsia="Arial" w:hAnsi="Arial"/>
          <w:color w:val="22303C"/>
          <w:sz w:val="21"/>
          <w:szCs w:val="21"/>
        </w:rPr>
        <w:t xml:space="preserve">Missing the ADA handoff when temporary restrictions turn permanent.</w:t>
      </w:r>
    </w:p>
    <w:p>
      <w:pPr>
        <w:keepNext/>
        <w:pBdr>
          <w:bottom w:val="single" w:color="C49A3C" w:sz="8" w:space="3"/>
        </w:pBdr>
        <w:spacing w:after="140" w:before="320"/>
      </w:pPr>
      <w:r>
        <w:rPr>
          <w:rFonts w:ascii="Arial" w:cs="Arial" w:eastAsia="Arial" w:hAnsi="Arial"/>
          <w:b/>
          <w:bCs/>
          <w:color w:val="1B3A52"/>
          <w:spacing w:val="20"/>
          <w:sz w:val="24"/>
          <w:szCs w:val="24"/>
        </w:rPr>
        <w:t xml:space="preserve">WHAT TO DO NEXT</w:t>
      </w:r>
    </w:p>
    <w:p>
      <w:pPr>
        <w:spacing w:after="120" w:line="300"/>
      </w:pPr>
      <w:r>
        <w:rPr>
          <w:rFonts w:ascii="Arial" w:cs="Arial" w:eastAsia="Arial" w:hAnsi="Arial"/>
          <w:color w:val="22303C"/>
          <w:sz w:val="21"/>
          <w:szCs w:val="21"/>
        </w:rPr>
        <w:t xml:space="preserve">Keep the packet open until the employee is at full duty or the claim resolves. Medical records go to the confidential medical file; the communication log keeps running; and any adverse decision touching this employee gets a retaliation review first — the injury date is a timeline anchor a jury will see.</w:t>
      </w:r>
    </w:p>
    <w:p>
      <w:pPr>
        <w:spacing w:after="0" w:before="120"/>
      </w:pPr>
      <w:r>
        <w:rPr>
          <w:rFonts w:ascii="Arial" w:cs="Arial" w:eastAsia="Arial" w:hAnsi="Arial"/>
          <w:color w:val="22303C"/>
          <w:sz w:val="8"/>
          <w:szCs w:val="8"/>
        </w:rPr>
        <w:t xml:space="preserve"> </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single" w:color="D8E0E8" w:sz="2"/>
              <w:left w:val="single" w:color="1B3A52" w:sz="24"/>
              <w:bottom w:val="single" w:color="D8E0E8" w:sz="2"/>
              <w:right w:val="single" w:color="D8E0E8" w:sz="2"/>
            </w:tcBorders>
            <w:shd w:fill="F0F4F8" w:val="clear"/>
            <w:tcMar>
              <w:top w:type="dxa" w:w="140"/>
              <w:left w:type="dxa" w:w="180"/>
              <w:bottom w:type="dxa" w:w="140"/>
              <w:right w:type="dxa" w:w="180"/>
            </w:tcMar>
          </w:tcPr>
          <w:p>
            <w:pPr>
              <w:spacing w:after="80" w:line="288"/>
            </w:pPr>
            <w:r>
              <w:rPr>
                <w:rFonts w:ascii="Arial" w:cs="Arial" w:eastAsia="Arial" w:hAnsi="Arial"/>
                <w:b/>
                <w:bCs/>
                <w:color w:val="1B3A52"/>
                <w:sz w:val="21"/>
                <w:szCs w:val="21"/>
              </w:rPr>
              <w:t xml:space="preserve">Before you terminate, deduct, discipline, classify, or respond, get the decision reviewed.</w:t>
            </w:r>
          </w:p>
          <w:p>
            <w:pPr>
              <w:spacing w:after="0"/>
            </w:pPr>
            <w:r>
              <w:rPr>
                <w:rFonts w:ascii="Arial" w:cs="Arial" w:eastAsia="Arial" w:hAnsi="Arial"/>
                <w:color w:val="22303C"/>
                <w:sz w:val="20"/>
                <w:szCs w:val="20"/>
              </w:rPr>
              <w:t xml:space="preserve">Call 210.446.8730 or email thomas@faulknerhrsolutions.info.</w:t>
            </w:r>
          </w:p>
        </w:tc>
      </w:tr>
    </w:tbl>
    <w:p>
      <w:pPr>
        <w:pageBreakBefore/>
        <w:spacing w:after="200"/>
      </w:pPr>
      <w:r>
        <w:rPr>
          <w:rFonts w:ascii="Arial" w:cs="Arial" w:eastAsia="Arial" w:hAnsi="Arial"/>
          <w:color w:val="22303C"/>
          <w:sz w:val="8"/>
          <w:szCs w:val="8"/>
        </w:rPr>
        <w:t xml:space="preserve"> </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single" w:color="D8E0E8" w:sz="2"/>
              <w:left w:val="single" w:color="1B3A52" w:sz="24"/>
              <w:bottom w:val="single" w:color="D8E0E8" w:sz="2"/>
              <w:right w:val="single" w:color="D8E0E8" w:sz="2"/>
            </w:tcBorders>
            <w:shd w:fill="F0F4F8" w:val="clear"/>
            <w:tcMar>
              <w:top w:type="dxa" w:w="140"/>
              <w:left w:type="dxa" w:w="180"/>
              <w:bottom w:type="dxa" w:w="140"/>
              <w:right w:type="dxa" w:w="180"/>
            </w:tcMar>
          </w:tcPr>
          <w:p>
            <w:pPr>
              <w:spacing w:after="0" w:line="300"/>
            </w:pPr>
            <w:r>
              <w:rPr>
                <w:rFonts w:ascii="Arial" w:cs="Arial" w:eastAsia="Arial" w:hAnsi="Arial"/>
                <w:b/>
                <w:bCs/>
                <w:i/>
                <w:iCs/>
                <w:color w:val="1B3A52"/>
                <w:sz w:val="21"/>
                <w:szCs w:val="21"/>
              </w:rPr>
              <w:t xml:space="preserve">Before you process payroll, terminate, classify, deduct, or respond to a claim, get the decision reviewed.</w:t>
            </w:r>
          </w:p>
        </w:tc>
      </w:tr>
    </w:tbl>
    <w:p>
      <w:pPr>
        <w:spacing w:after="200"/>
      </w:pPr>
      <w:r>
        <w:rPr>
          <w:rFonts w:ascii="Arial" w:cs="Arial" w:eastAsia="Arial" w:hAnsi="Arial"/>
          <w:color w:val="22303C"/>
          <w:sz w:val="8"/>
          <w:szCs w:val="8"/>
        </w:rPr>
        <w:t xml:space="preserve"> </w:t>
      </w:r>
    </w:p>
    <w:tbl>
      <w:tblPr>
        <w:tblW w:type="dxa" w:w="10080"/>
        <w:tblBorders>
          <w:top w:val="single" w:color="auto" w:sz="4"/>
          <w:left w:val="single" w:color="auto" w:sz="4"/>
          <w:bottom w:val="single" w:color="auto" w:sz="4"/>
          <w:right w:val="single" w:color="auto" w:sz="4"/>
          <w:insideH w:val="single" w:color="auto" w:sz="4"/>
          <w:insideV w:val="single" w:color="auto" w:sz="4"/>
        </w:tblBorders>
      </w:tblPr>
      <w:tblGrid>
        <w:gridCol w:w="10080"/>
      </w:tblGrid>
      <w:tr>
        <w:tc>
          <w:tcPr>
            <w:tcW w:type="dxa" w:w="10080"/>
            <w:tcBorders>
              <w:top w:val="single" w:color="D8E0E8" w:sz="2"/>
              <w:left w:val="single" w:color="C49A3C" w:sz="24"/>
              <w:bottom w:val="single" w:color="D8E0E8" w:sz="2"/>
              <w:right w:val="single" w:color="D8E0E8" w:sz="2"/>
            </w:tcBorders>
            <w:shd w:fill="FBF6EC" w:val="clear"/>
            <w:tcMar>
              <w:top w:type="dxa" w:w="140"/>
              <w:left w:type="dxa" w:w="180"/>
              <w:bottom w:type="dxa" w:w="140"/>
              <w:right w:type="dxa" w:w="180"/>
            </w:tcMar>
          </w:tcPr>
          <w:p>
            <w:pPr>
              <w:spacing w:after="140"/>
            </w:pPr>
            <w:r>
              <w:rPr>
                <w:rFonts w:ascii="Arial" w:cs="Arial" w:eastAsia="Arial" w:hAnsi="Arial"/>
                <w:b/>
                <w:bCs/>
                <w:color w:val="1B3A52"/>
                <w:sz w:val="28"/>
                <w:szCs w:val="28"/>
              </w:rPr>
              <w:t xml:space="preserve">Need help applying this to a real workplace decision?</w:t>
            </w:r>
          </w:p>
          <w:p>
            <w:pPr>
              <w:spacing w:after="120" w:line="300"/>
            </w:pPr>
            <w:r>
              <w:rPr>
                <w:rFonts w:ascii="Arial" w:cs="Arial" w:eastAsia="Arial" w:hAnsi="Arial"/>
                <w:color w:val="22303C"/>
                <w:sz w:val="21"/>
                <w:szCs w:val="21"/>
              </w:rPr>
              <w:t xml:space="preserve">Faulkner HR Solutions helps Texas employers, nonprofits, municipalities, and growing businesses fix the people systems behind recurring workplace problems.</w:t>
            </w:r>
          </w:p>
          <w:p>
            <w:pPr>
              <w:spacing w:after="160" w:line="300"/>
            </w:pPr>
            <w:r>
              <w:rPr>
                <w:rFonts w:ascii="Arial" w:cs="Arial" w:eastAsia="Arial" w:hAnsi="Arial"/>
                <w:b/>
                <w:bCs/>
                <w:color w:val="22303C"/>
                <w:sz w:val="21"/>
                <w:szCs w:val="21"/>
              </w:rPr>
              <w:t xml:space="preserve">If this document raised a risk flag, do not guess your way through the next step.</w:t>
            </w:r>
          </w:p>
          <w:p>
            <w:pPr>
              <w:spacing w:after="60"/>
            </w:pPr>
            <w:r>
              <w:rPr>
                <w:rFonts w:ascii="Arial" w:cs="Arial" w:eastAsia="Arial" w:hAnsi="Arial"/>
                <w:b/>
                <w:bCs/>
                <w:color w:val="1B3A52"/>
                <w:sz w:val="21"/>
                <w:szCs w:val="21"/>
              </w:rPr>
              <w:t xml:space="preserve">Call:  </w:t>
            </w:r>
            <w:r>
              <w:rPr>
                <w:rFonts w:ascii="Arial" w:cs="Arial" w:eastAsia="Arial" w:hAnsi="Arial"/>
                <w:b/>
                <w:bCs/>
                <w:color w:val="1B3A52"/>
                <w:sz w:val="24"/>
                <w:szCs w:val="24"/>
              </w:rPr>
              <w:t xml:space="preserve">210.446.8730</w:t>
            </w:r>
          </w:p>
          <w:p>
            <w:pPr>
              <w:spacing w:after="60"/>
            </w:pPr>
            <w:r>
              <w:rPr>
                <w:rFonts w:ascii="Arial" w:cs="Arial" w:eastAsia="Arial" w:hAnsi="Arial"/>
                <w:b/>
                <w:bCs/>
                <w:color w:val="1B3A52"/>
                <w:sz w:val="21"/>
                <w:szCs w:val="21"/>
              </w:rPr>
              <w:t xml:space="preserve">Email:  </w:t>
            </w:r>
            <w:r>
              <w:rPr>
                <w:rFonts w:ascii="Arial" w:cs="Arial" w:eastAsia="Arial" w:hAnsi="Arial"/>
                <w:color w:val="22303C"/>
                <w:sz w:val="22"/>
                <w:szCs w:val="22"/>
              </w:rPr>
              <w:t xml:space="preserve">thomas@faulknerhrsolutions.info</w:t>
            </w:r>
          </w:p>
          <w:p>
            <w:pPr>
              <w:spacing w:after="0"/>
            </w:pPr>
            <w:r>
              <w:rPr>
                <w:rFonts w:ascii="Arial" w:cs="Arial" w:eastAsia="Arial" w:hAnsi="Arial"/>
                <w:b/>
                <w:bCs/>
                <w:color w:val="1B3A52"/>
                <w:sz w:val="21"/>
                <w:szCs w:val="21"/>
              </w:rPr>
              <w:t xml:space="preserve">Website:  </w:t>
            </w:r>
            <w:r>
              <w:rPr>
                <w:rFonts w:ascii="Arial" w:cs="Arial" w:eastAsia="Arial" w:hAnsi="Arial"/>
                <w:color w:val="22303C"/>
                <w:sz w:val="22"/>
                <w:szCs w:val="22"/>
              </w:rPr>
              <w:t xml:space="preserve">faulknerhrsolutions.info</w:t>
            </w:r>
          </w:p>
        </w:tc>
      </w:tr>
    </w:tbl>
    <w:p>
      <w:pPr>
        <w:spacing w:after="100" w:before="300"/>
      </w:pPr>
      <w:r>
        <w:rPr>
          <w:rFonts w:ascii="Arial" w:cs="Arial" w:eastAsia="Arial" w:hAnsi="Arial"/>
          <w:b/>
          <w:bCs/>
          <w:color w:val="4A5A6A"/>
          <w:spacing w:val="20"/>
          <w:sz w:val="18"/>
          <w:szCs w:val="18"/>
        </w:rPr>
        <w:t xml:space="preserve">DISCLAIMER</w:t>
      </w:r>
    </w:p>
    <w:p>
      <w:pPr>
        <w:spacing w:after="0" w:line="276"/>
      </w:pPr>
      <w:r>
        <w:rPr>
          <w:rFonts w:ascii="Arial" w:cs="Arial" w:eastAsia="Arial" w:hAnsi="Arial"/>
          <w:color w:val="4A5A6A"/>
          <w:sz w:val="18"/>
          <w:szCs w:val="18"/>
        </w:rPr>
        <w:t xml:space="preserve">This resource is provided for general employer education and planning purposes. It is not legal advice and does not create an attorney-client relationship. Employment laws, agency guidance, and local requirements may change. Employers should review the facts of each situation before acting and consult appropriate HR or legal counsel when needed.</w:t>
      </w:r>
    </w:p>
    <w:sectPr>
      <w:headerReference w:type="default" r:id="rId7"/>
      <w:footerReference w:type="default" r:id="rId8"/>
      <w:pgSz w:w="12240" w:h="15840" w:orient="portrait"/>
      <w:pgMar w:top="1280" w:right="1080" w:bottom="11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8E0E8" w:sz="4" w:space="4"/>
      </w:pBdr>
      <w:spacing w:after="0" w:before="80"/>
      <w:jc w:val="center"/>
    </w:pPr>
    <w:r>
      <w:rPr>
        <w:rFonts w:ascii="Arial" w:cs="Arial" w:eastAsia="Arial" w:hAnsi="Arial"/>
        <w:color w:val="4A5A6A"/>
        <w:sz w:val="14"/>
        <w:szCs w:val="14"/>
      </w:rPr>
      <w:t xml:space="preserve">Faulkner HR Solutions | Injury Response + Light Duty | Version 2026.1 | 210.446.8730 | thomas@faulknerhrsolutions.info | faulknerhrsolutions.info/resources/workers-comp-injury-response-light-duty-packet/ | Page </w:t>
    </w:r>
    <w:r>
      <w:rPr>
        <w:rFonts w:ascii="Arial" w:cs="Arial" w:eastAsia="Arial" w:hAnsi="Arial"/>
        <w:color w:val="4A5A6A"/>
        <w:sz w:val="14"/>
        <w:szCs w:val="14"/>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B3A52" w:sz="10" w:space="4"/>
      </w:pBdr>
      <w:tabs>
        <w:tab w:val="right" w:pos="10080"/>
      </w:tabs>
      <w:spacing w:after="120"/>
    </w:pPr>
    <w:r>
      <w:drawing>
        <wp:inline distT="0" distB="0" distL="0" distR="0">
          <wp:extent cx="247650" cy="247650"/>
          <wp:effectExtent t="0" r="0" b="0" l="0"/>
          <wp:docPr id="1" name="FHRS logo" descr="Faulkner HR Solutions logo" title="Faulkner HR Solu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47650" cy="247650"/>
                  </a:xfrm>
                  <a:prstGeom prst="rect">
                    <a:avLst/>
                  </a:prstGeom>
                </pic:spPr>
              </pic:pic>
            </a:graphicData>
          </a:graphic>
        </wp:inline>
      </w:drawing>
    </w:r>
    <w:r>
      <w:rPr>
        <w:rFonts w:ascii="Arial" w:cs="Arial" w:eastAsia="Arial" w:hAnsi="Arial"/>
        <w:b/>
        <w:bCs/>
        <w:color w:val="1B3A52"/>
        <w:spacing w:val="20"/>
        <w:sz w:val="19"/>
        <w:szCs w:val="19"/>
      </w:rPr>
      <w:t xml:space="preserve">  FAULKNER HR SOLUTIONS</w:t>
    </w:r>
    <w:r>
      <w:rPr>
        <w:rFonts w:ascii="Arial" w:cs="Arial" w:eastAsia="Arial" w:hAnsi="Arial"/>
        <w:b/>
        <w:bCs/>
        <w:color w:val="C49A3C"/>
        <w:spacing w:val="30"/>
        <w:sz w:val="18"/>
        <w:szCs w:val="18"/>
      </w:rPr>
      <w:t xml:space="preserve">	COMPLIANCE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460" w:hanging="260"/>
      </w:pPr>
    </w:lvl>
  </w:abstractNum>
  <w:abstractNum w:abstractNumId="3" w15:restartNumberingAfterBreak="0">
    <w:multiLevelType w:val="hybridMultilevel"/>
    <w:lvl w:ilvl="0" w15:tentative="1">
      <w:start w:val="1"/>
      <w:numFmt w:val="decimal"/>
      <w:lvlText w:val="%1."/>
      <w:lvlJc w:val="left"/>
      <w:pPr>
        <w:ind w:left="460" w:hanging="30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22303C"/>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62637c615e06f591d83d3816096da2235005184f.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Workers' Comp Injury Response + Light Duty Packet</dc:title>
  <dc:creator>Faulkner HR Solutions</dc:creator>
  <dc:description>From injury report to return-to-work: treatment, restrictions, light-duty offers, and a communication log that protects everyone.</dc:description>
  <cp:lastModifiedBy>Un-named</cp:lastModifiedBy>
  <cp:revision>1</cp:revision>
  <dcterms:created xsi:type="dcterms:W3CDTF">2026-07-04T08:16:05.475Z</dcterms:created>
  <dcterms:modified xsi:type="dcterms:W3CDTF">2026-07-04T08:16:05.475Z</dcterms:modified>
</cp:coreProperties>
</file>

<file path=docProps/custom.xml><?xml version="1.0" encoding="utf-8"?>
<Properties xmlns="http://schemas.openxmlformats.org/officeDocument/2006/custom-properties" xmlns:vt="http://schemas.openxmlformats.org/officeDocument/2006/docPropsVTypes"/>
</file>