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60"/>
      </w:pPr>
      <w:r>
        <w:rPr>
          <w:rFonts w:ascii="Arial" w:cs="Arial" w:eastAsia="Arial" w:hAnsi="Arial"/>
          <w:b/>
          <w:bCs/>
          <w:color w:val="C49A3C"/>
          <w:spacing w:val="30"/>
          <w:sz w:val="17"/>
          <w:szCs w:val="17"/>
        </w:rPr>
        <w:t xml:space="preserve">PAYROLL AUDIT CHECKLIST  |  JURISDICTION: FEDERAL  |  VERSION 2026.1</w:t>
      </w:r>
    </w:p>
    <w:p>
      <w:pPr>
        <w:spacing w:after="120"/>
      </w:pPr>
      <w:r>
        <w:rPr>
          <w:rFonts w:ascii="Arial" w:cs="Arial" w:eastAsia="Arial" w:hAnsi="Arial"/>
          <w:b/>
          <w:bCs/>
          <w:color w:val="1B3A52"/>
          <w:sz w:val="44"/>
          <w:szCs w:val="44"/>
        </w:rPr>
        <w:t xml:space="preserve">Regular Rate of Pay Audit Checklist</w:t>
      </w:r>
    </w:p>
    <w:p>
      <w:pPr>
        <w:spacing w:after="200" w:line="300"/>
      </w:pPr>
      <w:r>
        <w:rPr>
          <w:rFonts w:ascii="Arial" w:cs="Arial" w:eastAsia="Arial" w:hAnsi="Arial"/>
          <w:i/>
          <w:iCs/>
          <w:color w:val="4A5A6A"/>
          <w:sz w:val="22"/>
          <w:szCs w:val="22"/>
        </w:rPr>
        <w:t xml:space="preserve">Find the bonuses, differentials, and incentives your overtime math is ignoring — before a wage claim finds them for you.</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8E0E8" w:sz="2"/>
              <w:left w:val="single" w:color="1B3A52" w:sz="24"/>
              <w:bottom w:val="single" w:color="D8E0E8" w:sz="2"/>
              <w:right w:val="single" w:color="D8E0E8" w:sz="2"/>
            </w:tcBorders>
            <w:shd w:fill="F0F4F8" w:val="clear"/>
            <w:tcMar>
              <w:top w:type="dxa" w:w="140"/>
              <w:left w:type="dxa" w:w="180"/>
              <w:bottom w:type="dxa" w:w="140"/>
              <w:right w:type="dxa" w:w="180"/>
            </w:tcMar>
          </w:tcPr>
          <w:p>
            <w:pPr>
              <w:spacing w:after="60"/>
            </w:pPr>
            <w:r>
              <w:rPr>
                <w:rFonts w:ascii="Arial" w:cs="Arial" w:eastAsia="Arial" w:hAnsi="Arial"/>
                <w:b/>
                <w:bCs/>
                <w:color w:val="C49A3C"/>
                <w:spacing w:val="30"/>
                <w:sz w:val="17"/>
                <w:szCs w:val="17"/>
              </w:rPr>
              <w:t xml:space="preserve">WHAT THIS HELPS YOU DO</w:t>
            </w:r>
          </w:p>
          <w:p>
            <w:pPr>
              <w:spacing w:after="0" w:line="300"/>
            </w:pPr>
            <w:r>
              <w:rPr>
                <w:rFonts w:ascii="Arial" w:cs="Arial" w:eastAsia="Arial" w:hAnsi="Arial"/>
                <w:color w:val="22303C"/>
                <w:sz w:val="22"/>
                <w:szCs w:val="22"/>
              </w:rPr>
              <w:t xml:space="preserve">Use this checklist to audit whether every required payment flows into the FLSA regular rate used for overtime — because time-and-a-half of the wrong number is systematically underpaid overtime.</w:t>
            </w:r>
          </w:p>
        </w:tc>
      </w:tr>
    </w:tbl>
    <w:p>
      <w:pPr>
        <w:keepNext/>
        <w:pBdr>
          <w:bottom w:val="single" w:color="C49A3C" w:sz="8" w:space="3"/>
        </w:pBdr>
        <w:spacing w:after="140" w:before="320"/>
      </w:pPr>
      <w:r>
        <w:rPr>
          <w:rFonts w:ascii="Arial" w:cs="Arial" w:eastAsia="Arial" w:hAnsi="Arial"/>
          <w:b/>
          <w:bCs/>
          <w:color w:val="1B3A52"/>
          <w:spacing w:val="20"/>
          <w:sz w:val="24"/>
          <w:szCs w:val="24"/>
        </w:rPr>
        <w:t xml:space="preserve">WHEN TO USE THIS DOCUMENT</w:t>
      </w:r>
    </w:p>
    <w:p>
      <w:pPr>
        <w:pStyle w:val="ListParagraph"/>
        <w:numPr>
          <w:ilvl w:val="0"/>
          <w:numId w:val="2"/>
        </w:numPr>
        <w:spacing w:after="80" w:line="288"/>
      </w:pPr>
      <w:r>
        <w:rPr>
          <w:rFonts w:ascii="Arial" w:cs="Arial" w:eastAsia="Arial" w:hAnsi="Arial"/>
          <w:color w:val="22303C"/>
          <w:sz w:val="21"/>
          <w:szCs w:val="21"/>
        </w:rPr>
        <w:t xml:space="preserve">Any time nonexempt employees earn bonuses, commissions, or differentials</w:t>
      </w:r>
    </w:p>
    <w:p>
      <w:pPr>
        <w:pStyle w:val="ListParagraph"/>
        <w:numPr>
          <w:ilvl w:val="0"/>
          <w:numId w:val="2"/>
        </w:numPr>
        <w:spacing w:after="80" w:line="288"/>
      </w:pPr>
      <w:r>
        <w:rPr>
          <w:rFonts w:ascii="Arial" w:cs="Arial" w:eastAsia="Arial" w:hAnsi="Arial"/>
          <w:color w:val="22303C"/>
          <w:sz w:val="21"/>
          <w:szCs w:val="21"/>
        </w:rPr>
        <w:t xml:space="preserve">Before year-end bonus payouts touch overtime weeks</w:t>
      </w:r>
    </w:p>
    <w:p>
      <w:pPr>
        <w:pStyle w:val="ListParagraph"/>
        <w:numPr>
          <w:ilvl w:val="0"/>
          <w:numId w:val="2"/>
        </w:numPr>
        <w:spacing w:after="80" w:line="288"/>
      </w:pPr>
      <w:r>
        <w:rPr>
          <w:rFonts w:ascii="Arial" w:cs="Arial" w:eastAsia="Arial" w:hAnsi="Arial"/>
          <w:color w:val="22303C"/>
          <w:sz w:val="21"/>
          <w:szCs w:val="21"/>
        </w:rPr>
        <w:t xml:space="preserve">When setting up incentive, attendance, or safety bonus programs</w:t>
      </w:r>
    </w:p>
    <w:p>
      <w:pPr>
        <w:pStyle w:val="ListParagraph"/>
        <w:numPr>
          <w:ilvl w:val="0"/>
          <w:numId w:val="2"/>
        </w:numPr>
        <w:spacing w:after="80" w:line="288"/>
      </w:pPr>
      <w:r>
        <w:rPr>
          <w:rFonts w:ascii="Arial" w:cs="Arial" w:eastAsia="Arial" w:hAnsi="Arial"/>
          <w:color w:val="22303C"/>
          <w:sz w:val="21"/>
          <w:szCs w:val="21"/>
        </w:rPr>
        <w:t xml:space="preserve">After payroll vendor or system changes</w:t>
      </w:r>
    </w:p>
    <w:p>
      <w:pPr>
        <w:pStyle w:val="ListParagraph"/>
        <w:numPr>
          <w:ilvl w:val="0"/>
          <w:numId w:val="2"/>
        </w:numPr>
        <w:spacing w:after="80" w:line="288"/>
      </w:pPr>
      <w:r>
        <w:rPr>
          <w:rFonts w:ascii="Arial" w:cs="Arial" w:eastAsia="Arial" w:hAnsi="Arial"/>
          <w:color w:val="22303C"/>
          <w:sz w:val="21"/>
          <w:szCs w:val="21"/>
        </w:rPr>
        <w:t xml:space="preserve">When preparing for the overtime deduction's W-2 reporting</w:t>
      </w:r>
    </w:p>
    <w:p>
      <w:pPr>
        <w:keepNext/>
        <w:pBdr>
          <w:bottom w:val="single" w:color="C49A3C" w:sz="8" w:space="3"/>
        </w:pBdr>
        <w:spacing w:after="140" w:before="320"/>
      </w:pPr>
      <w:r>
        <w:rPr>
          <w:rFonts w:ascii="Arial" w:cs="Arial" w:eastAsia="Arial" w:hAnsi="Arial"/>
          <w:b/>
          <w:bCs/>
          <w:color w:val="1B3A52"/>
          <w:spacing w:val="20"/>
          <w:sz w:val="24"/>
          <w:szCs w:val="24"/>
        </w:rPr>
        <w:t xml:space="preserve">WHAT THIS DOCUMENT HELPS PREVENT</w:t>
      </w:r>
    </w:p>
    <w:p>
      <w:pPr>
        <w:pStyle w:val="ListParagraph"/>
        <w:numPr>
          <w:ilvl w:val="0"/>
          <w:numId w:val="2"/>
        </w:numPr>
        <w:spacing w:after="80" w:line="288"/>
      </w:pPr>
      <w:r>
        <w:rPr>
          <w:rFonts w:ascii="Arial" w:cs="Arial" w:eastAsia="Arial" w:hAnsi="Arial"/>
          <w:color w:val="22303C"/>
          <w:sz w:val="21"/>
          <w:szCs w:val="21"/>
        </w:rPr>
        <w:t xml:space="preserve">Systematic overtime underpayment across every OT week — multiplied by two or three years of look-back</w:t>
      </w:r>
    </w:p>
    <w:p>
      <w:pPr>
        <w:pStyle w:val="ListParagraph"/>
        <w:numPr>
          <w:ilvl w:val="0"/>
          <w:numId w:val="2"/>
        </w:numPr>
        <w:spacing w:after="80" w:line="288"/>
      </w:pPr>
      <w:r>
        <w:rPr>
          <w:rFonts w:ascii="Arial" w:cs="Arial" w:eastAsia="Arial" w:hAnsi="Arial"/>
          <w:color w:val="22303C"/>
          <w:sz w:val="21"/>
          <w:szCs w:val="21"/>
        </w:rPr>
        <w:t xml:space="preserve">Bonus programs that quietly create FLSA liability with every payout</w:t>
      </w:r>
    </w:p>
    <w:p>
      <w:pPr>
        <w:pStyle w:val="ListParagraph"/>
        <w:numPr>
          <w:ilvl w:val="0"/>
          <w:numId w:val="2"/>
        </w:numPr>
        <w:spacing w:after="80" w:line="288"/>
      </w:pPr>
      <w:r>
        <w:rPr>
          <w:rFonts w:ascii="Arial" w:cs="Arial" w:eastAsia="Arial" w:hAnsi="Arial"/>
          <w:color w:val="22303C"/>
          <w:sz w:val="21"/>
          <w:szCs w:val="21"/>
        </w:rPr>
        <w:t xml:space="preserve">'Discretionary' bonus labels that don't survive scrutiny</w:t>
      </w:r>
    </w:p>
    <w:p>
      <w:pPr>
        <w:pStyle w:val="ListParagraph"/>
        <w:numPr>
          <w:ilvl w:val="0"/>
          <w:numId w:val="2"/>
        </w:numPr>
        <w:spacing w:after="80" w:line="288"/>
      </w:pPr>
      <w:r>
        <w:rPr>
          <w:rFonts w:ascii="Arial" w:cs="Arial" w:eastAsia="Arial" w:hAnsi="Arial"/>
          <w:color w:val="22303C"/>
          <w:sz w:val="21"/>
          <w:szCs w:val="21"/>
        </w:rPr>
        <w:t xml:space="preserve">Collective actions built from one employee's paystub math</w:t>
      </w:r>
    </w:p>
    <w:p>
      <w:pPr>
        <w:pStyle w:val="ListParagraph"/>
        <w:numPr>
          <w:ilvl w:val="0"/>
          <w:numId w:val="2"/>
        </w:numPr>
        <w:spacing w:after="80" w:line="288"/>
      </w:pPr>
      <w:r>
        <w:rPr>
          <w:rFonts w:ascii="Arial" w:cs="Arial" w:eastAsia="Arial" w:hAnsi="Arial"/>
          <w:color w:val="22303C"/>
          <w:sz w:val="21"/>
          <w:szCs w:val="21"/>
        </w:rPr>
        <w:t xml:space="preserve">Regular-rate errors surfacing on federal tax documents</w:t>
      </w:r>
    </w:p>
    <w:p>
      <w:pPr>
        <w:spacing w:after="0" w:before="200"/>
      </w:pPr>
      <w:r>
        <w:rPr>
          <w:rFonts w:ascii="Arial" w:cs="Arial" w:eastAsia="Arial" w:hAnsi="Arial"/>
          <w:color w:val="22303C"/>
          <w:sz w:val="8"/>
          <w:szCs w:val="8"/>
        </w:rPr>
        <w:t xml:space="preserve"> </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8E0E8" w:sz="2"/>
              <w:left w:val="single" w:color="C49A3C" w:sz="24"/>
              <w:bottom w:val="single" w:color="D8E0E8" w:sz="2"/>
              <w:right w:val="single" w:color="D8E0E8" w:sz="2"/>
            </w:tcBorders>
            <w:shd w:fill="FBF6EC" w:val="clear"/>
            <w:tcMar>
              <w:top w:type="dxa" w:w="140"/>
              <w:left w:type="dxa" w:w="180"/>
              <w:bottom w:type="dxa" w:w="140"/>
              <w:right w:type="dxa" w:w="180"/>
            </w:tcMar>
          </w:tcPr>
          <w:p>
            <w:pPr>
              <w:spacing w:after="0" w:line="300"/>
            </w:pPr>
            <w:r>
              <w:rPr>
                <w:rFonts w:ascii="Arial" w:cs="Arial" w:eastAsia="Arial" w:hAnsi="Arial"/>
                <w:i/>
                <w:iCs/>
                <w:color w:val="1B3A52"/>
                <w:sz w:val="21"/>
                <w:szCs w:val="21"/>
              </w:rPr>
              <w:t xml:space="preserve">Faulkner HR Solutions focuses on the system behind the people problem. This tool is designed to help employers slow down the decision, identify the risk, and create proof before the issue becomes a claim, complaint, turnover event, or credibility problem.</w:t>
            </w:r>
          </w:p>
        </w:tc>
      </w:tr>
    </w:tbl>
    <w:p>
      <w:pPr>
        <w:keepNext/>
        <w:pBdr>
          <w:bottom w:val="single" w:color="C49A3C" w:sz="8" w:space="3"/>
        </w:pBdr>
        <w:spacing w:after="140" w:before="320"/>
      </w:pPr>
      <w:r>
        <w:rPr>
          <w:rFonts w:ascii="Arial" w:cs="Arial" w:eastAsia="Arial" w:hAnsi="Arial"/>
          <w:b/>
          <w:bCs/>
          <w:color w:val="1B3A52"/>
          <w:spacing w:val="20"/>
          <w:sz w:val="24"/>
          <w:szCs w:val="24"/>
        </w:rPr>
        <w:t xml:space="preserve">BEFORE YOU START: READINESS CHECKLIST</w:t>
      </w:r>
    </w:p>
    <w:p>
      <w:pPr>
        <w:spacing w:after="140" w:line="288"/>
      </w:pPr>
      <w:r>
        <w:rPr>
          <w:rFonts w:ascii="Arial" w:cs="Arial" w:eastAsia="Arial" w:hAnsi="Arial"/>
          <w:color w:val="4A5A6A"/>
          <w:sz w:val="20"/>
          <w:szCs w:val="20"/>
        </w:rPr>
        <w:t xml:space="preserve">Gather the following before working through this document. Incomplete inputs are one of the most common reasons employer decisions fail under later scrutiny.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907"/>
        <w:gridCol w:w="6552"/>
        <w:gridCol w:w="2621"/>
      </w:tblGrid>
      <w:tr>
        <w:trPr>
          <w:tblHeader/>
        </w:trPr>
        <w:tc>
          <w:tcPr>
            <w:tcW w:type="dxa" w:w="907"/>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Have it</w:t>
            </w:r>
          </w:p>
        </w:tc>
        <w:tc>
          <w:tcPr>
            <w:tcW w:type="dxa" w:w="6552"/>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Input</w:t>
            </w:r>
          </w:p>
        </w:tc>
        <w:tc>
          <w:tcPr>
            <w:tcW w:type="dxa" w:w="2621"/>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Notes / location</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Employee name and role</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Date of incident, request, or separation</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Supervisor involved</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Policy or handbook section that applies</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Prior documentation on file</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Pay records, if applicable</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Relevant emails, texts, notes, or complaints</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Decision-maker name</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Deadline, if applicable</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bl>
    <w:p>
      <w:pPr>
        <w:pageBreakBefore/>
        <w:spacing w:after="40"/>
      </w:pPr>
      <w:r>
        <w:rPr>
          <w:rFonts w:ascii="Arial" w:cs="Arial" w:eastAsia="Arial" w:hAnsi="Arial"/>
          <w:color w:val="22303C"/>
          <w:sz w:val="8"/>
          <w:szCs w:val="8"/>
        </w:rPr>
        <w:t xml:space="preserve"> </w:t>
      </w:r>
    </w:p>
    <w:p>
      <w:pPr>
        <w:keepNext/>
        <w:pBdr>
          <w:bottom w:val="single" w:color="C49A3C" w:sz="8" w:space="3"/>
        </w:pBdr>
        <w:spacing w:after="140" w:before="320"/>
      </w:pPr>
      <w:r>
        <w:rPr>
          <w:rFonts w:ascii="Arial" w:cs="Arial" w:eastAsia="Arial" w:hAnsi="Arial"/>
          <w:b/>
          <w:bCs/>
          <w:color w:val="1B3A52"/>
          <w:spacing w:val="20"/>
          <w:sz w:val="24"/>
          <w:szCs w:val="24"/>
        </w:rPr>
        <w:t xml:space="preserve">REGULAR RATE AUDIT</w:t>
      </w:r>
    </w:p>
    <w:p>
      <w:pPr>
        <w:spacing w:after="160" w:line="288"/>
      </w:pPr>
      <w:r>
        <w:rPr>
          <w:rFonts w:ascii="Arial" w:cs="Arial" w:eastAsia="Arial" w:hAnsi="Arial"/>
          <w:color w:val="4A5A6A"/>
          <w:sz w:val="20"/>
          <w:szCs w:val="20"/>
        </w:rPr>
        <w:t xml:space="preserve">The regular rate is not the hourly wage — it's total compensation for the workweek divided by total hours, with only narrow exclusions. Audit what goes in, what stays out, and whether the recalculation actually happens.</w:t>
      </w:r>
    </w:p>
    <w:p>
      <w:pPr>
        <w:keepNext/>
        <w:spacing w:after="100" w:before="220"/>
      </w:pPr>
      <w:r>
        <w:rPr>
          <w:rFonts w:ascii="Arial" w:cs="Arial" w:eastAsia="Arial" w:hAnsi="Arial"/>
          <w:b/>
          <w:bCs/>
          <w:color w:val="1B3A52"/>
          <w:sz w:val="22"/>
          <w:szCs w:val="22"/>
        </w:rPr>
        <w:t xml:space="preserve">Part 1 — Payment Inventory</w:t>
      </w:r>
    </w:p>
    <w:p>
      <w:pPr>
        <w:spacing w:after="120" w:line="288"/>
      </w:pPr>
      <w:r>
        <w:rPr>
          <w:rFonts w:ascii="Arial" w:cs="Arial" w:eastAsia="Arial" w:hAnsi="Arial"/>
          <w:color w:val="4A5A6A"/>
          <w:sz w:val="20"/>
          <w:szCs w:val="20"/>
        </w:rPr>
        <w:t xml:space="preserve">List every payment type nonexempt employees can receive. The audit is only as good as this inventory.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24"/>
        <w:gridCol w:w="2419"/>
        <w:gridCol w:w="2016"/>
        <w:gridCol w:w="2621"/>
      </w:tblGrid>
      <w:tr>
        <w:trPr>
          <w:tblHeader/>
        </w:trPr>
        <w:tc>
          <w:tcPr>
            <w:tcW w:type="dxa" w:w="3024"/>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Payment type</w:t>
            </w:r>
          </w:p>
        </w:tc>
        <w:tc>
          <w:tcPr>
            <w:tcW w:type="dxa" w:w="2419"/>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Who receives it</w:t>
            </w:r>
          </w:p>
        </w:tc>
        <w:tc>
          <w:tcPr>
            <w:tcW w:type="dxa" w:w="2016"/>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In regular rate today?</w:t>
            </w:r>
          </w:p>
        </w:tc>
        <w:tc>
          <w:tcPr>
            <w:tcW w:type="dxa" w:w="2621"/>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Should it be?</w:t>
            </w:r>
          </w:p>
        </w:tc>
      </w:tr>
      <w:tr>
        <w:tc>
          <w:tcPr>
            <w:tcW w:type="dxa" w:w="302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Attendance / safety / production bonuses</w:t>
            </w:r>
          </w:p>
        </w:tc>
        <w:tc>
          <w:tcPr>
            <w:tcW w:type="dxa" w:w="2419"/>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016"/>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02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Shift differentials</w:t>
            </w:r>
          </w:p>
        </w:tc>
        <w:tc>
          <w:tcPr>
            <w:tcW w:type="dxa" w:w="2419"/>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016"/>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02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Commissions</w:t>
            </w:r>
          </w:p>
        </w:tc>
        <w:tc>
          <w:tcPr>
            <w:tcW w:type="dxa" w:w="2419"/>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016"/>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02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On-call pay</w:t>
            </w:r>
          </w:p>
        </w:tc>
        <w:tc>
          <w:tcPr>
            <w:tcW w:type="dxa" w:w="2419"/>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016"/>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02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Longevity or retention bonuses</w:t>
            </w:r>
          </w:p>
        </w:tc>
        <w:tc>
          <w:tcPr>
            <w:tcW w:type="dxa" w:w="2419"/>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016"/>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02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Non-cash prizes tied to work</w:t>
            </w:r>
          </w:p>
        </w:tc>
        <w:tc>
          <w:tcPr>
            <w:tcW w:type="dxa" w:w="2419"/>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016"/>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02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419"/>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016"/>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02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419"/>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016"/>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02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419"/>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016"/>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bl>
    <w:p>
      <w:pPr>
        <w:spacing w:after="160"/>
      </w:pPr>
      <w:r>
        <w:rPr>
          <w:rFonts w:ascii="Arial" w:cs="Arial" w:eastAsia="Arial" w:hAnsi="Arial"/>
          <w:color w:val="22303C"/>
          <w:sz w:val="8"/>
          <w:szCs w:val="8"/>
        </w:rPr>
        <w:t xml:space="preserve"> </w:t>
      </w:r>
    </w:p>
    <w:p>
      <w:pPr>
        <w:keepNext/>
        <w:spacing w:after="100" w:before="220"/>
      </w:pPr>
      <w:r>
        <w:rPr>
          <w:rFonts w:ascii="Arial" w:cs="Arial" w:eastAsia="Arial" w:hAnsi="Arial"/>
          <w:b/>
          <w:bCs/>
          <w:color w:val="1B3A52"/>
          <w:sz w:val="22"/>
          <w:szCs w:val="22"/>
        </w:rPr>
        <w:t xml:space="preserve">Part 2 — Must Be Included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907"/>
        <w:gridCol w:w="6552"/>
        <w:gridCol w:w="2621"/>
      </w:tblGrid>
      <w:tr>
        <w:trPr>
          <w:tblHeader/>
        </w:trPr>
        <w:tc>
          <w:tcPr>
            <w:tcW w:type="dxa" w:w="907"/>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Included</w:t>
            </w:r>
          </w:p>
        </w:tc>
        <w:tc>
          <w:tcPr>
            <w:tcW w:type="dxa" w:w="6552"/>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Payment that belongs IN the regular rate</w:t>
            </w:r>
          </w:p>
        </w:tc>
        <w:tc>
          <w:tcPr>
            <w:tcW w:type="dxa" w:w="2621"/>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Verified how</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Nondiscretionary bonuses — anything promised, announced, or formulaic (attendance, production, quality, safety, retention)</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Commissions and piece-rate earnings</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Shift differentials and hazard pay</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On-call payments and non-overtime premiums</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Fair value of goods, prizes, or lodging provided as compensation</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Wage supplements required by contract or promise</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bl>
    <w:p>
      <w:pPr>
        <w:spacing w:after="160"/>
      </w:pPr>
      <w:r>
        <w:rPr>
          <w:rFonts w:ascii="Arial" w:cs="Arial" w:eastAsia="Arial" w:hAnsi="Arial"/>
          <w:color w:val="22303C"/>
          <w:sz w:val="8"/>
          <w:szCs w:val="8"/>
        </w:rPr>
        <w:t xml:space="preserve"> </w:t>
      </w:r>
    </w:p>
    <w:p>
      <w:pPr>
        <w:keepNext/>
        <w:spacing w:after="100" w:before="220"/>
      </w:pPr>
      <w:r>
        <w:rPr>
          <w:rFonts w:ascii="Arial" w:cs="Arial" w:eastAsia="Arial" w:hAnsi="Arial"/>
          <w:b/>
          <w:bCs/>
          <w:color w:val="1B3A52"/>
          <w:sz w:val="22"/>
          <w:szCs w:val="22"/>
        </w:rPr>
        <w:t xml:space="preserve">Part 3 — May Be Excluded (narrowly)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907"/>
        <w:gridCol w:w="6552"/>
        <w:gridCol w:w="2621"/>
      </w:tblGrid>
      <w:tr>
        <w:trPr>
          <w:tblHeader/>
        </w:trPr>
        <w:tc>
          <w:tcPr>
            <w:tcW w:type="dxa" w:w="907"/>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Qualifies</w:t>
            </w:r>
          </w:p>
        </w:tc>
        <w:tc>
          <w:tcPr>
            <w:tcW w:type="dxa" w:w="6552"/>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Exclusion — verify it truly fits</w:t>
            </w:r>
          </w:p>
        </w:tc>
        <w:tc>
          <w:tcPr>
            <w:tcW w:type="dxa" w:w="2621"/>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Notes</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Truly discretionary bonuses — both the fact AND amount decided at the employer's sole discretion near payment time, with no prior promise</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Gifts on holidays/special occasions not tied to hours or production</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PTO, holiday pay, and pay for time not worked</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Expense reimbursements (reasonable, actual)</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Premium pay already at 1.5x or more (creditable toward OT)</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Profit-sharing and benefit plan contributions meeting DOL rules</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bl>
    <w:p>
      <w:pPr>
        <w:spacing w:after="160"/>
      </w:pPr>
      <w:r>
        <w:rPr>
          <w:rFonts w:ascii="Arial" w:cs="Arial" w:eastAsia="Arial" w:hAnsi="Arial"/>
          <w:color w:val="22303C"/>
          <w:sz w:val="8"/>
          <w:szCs w:val="8"/>
        </w:rPr>
        <w:t xml:space="preserve"> </w:t>
      </w:r>
    </w:p>
    <w:p>
      <w:pPr>
        <w:keepNext/>
        <w:spacing w:after="100" w:before="220"/>
      </w:pPr>
      <w:r>
        <w:rPr>
          <w:rFonts w:ascii="Arial" w:cs="Arial" w:eastAsia="Arial" w:hAnsi="Arial"/>
          <w:b/>
          <w:bCs/>
          <w:color w:val="1B3A52"/>
          <w:sz w:val="22"/>
          <w:szCs w:val="22"/>
        </w:rPr>
        <w:t xml:space="preserve">Part 4 — The 'Discretionary' Stress Test</w:t>
      </w:r>
    </w:p>
    <w:p>
      <w:pPr>
        <w:spacing w:after="120" w:line="288"/>
      </w:pPr>
      <w:r>
        <w:rPr>
          <w:rFonts w:ascii="Arial" w:cs="Arial" w:eastAsia="Arial" w:hAnsi="Arial"/>
          <w:color w:val="4A5A6A"/>
          <w:sz w:val="20"/>
          <w:szCs w:val="20"/>
        </w:rPr>
        <w:t xml:space="preserve">The most abused word in payroll. Answer for each bonus program:</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907"/>
        <w:gridCol w:w="6552"/>
        <w:gridCol w:w="2621"/>
      </w:tblGrid>
      <w:tr>
        <w:trPr>
          <w:tblHeader/>
        </w:trPr>
        <w:tc>
          <w:tcPr>
            <w:tcW w:type="dxa" w:w="907"/>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Yes?</w:t>
            </w:r>
          </w:p>
        </w:tc>
        <w:tc>
          <w:tcPr>
            <w:tcW w:type="dxa" w:w="6552"/>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If ANY answer is yes, the bonus is NONdiscretionary</w:t>
            </w:r>
          </w:p>
        </w:tc>
        <w:tc>
          <w:tcPr>
            <w:tcW w:type="dxa" w:w="2621"/>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Program</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Is it announced in advance, in a handbook, offer letter, or plan document?</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Does a formula, target, or metric determine who gets it or how much?</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Do employees expect it because it's paid regularly?</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Is it promised to induce attendance, retention, or performance?</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bl>
    <w:p>
      <w:pPr>
        <w:spacing w:after="160"/>
      </w:pPr>
      <w:r>
        <w:rPr>
          <w:rFonts w:ascii="Arial" w:cs="Arial" w:eastAsia="Arial" w:hAnsi="Arial"/>
          <w:color w:val="22303C"/>
          <w:sz w:val="8"/>
          <w:szCs w:val="8"/>
        </w:rPr>
        <w:t xml:space="preserve"> </w:t>
      </w:r>
    </w:p>
    <w:p>
      <w:pPr>
        <w:keepNext/>
        <w:spacing w:after="100" w:before="220"/>
      </w:pPr>
      <w:r>
        <w:rPr>
          <w:rFonts w:ascii="Arial" w:cs="Arial" w:eastAsia="Arial" w:hAnsi="Arial"/>
          <w:b/>
          <w:bCs/>
          <w:color w:val="1B3A52"/>
          <w:sz w:val="22"/>
          <w:szCs w:val="22"/>
        </w:rPr>
        <w:t xml:space="preserve">Part 5 — Recalculation Mechanics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907"/>
        <w:gridCol w:w="6552"/>
        <w:gridCol w:w="2621"/>
      </w:tblGrid>
      <w:tr>
        <w:trPr>
          <w:tblHeader/>
        </w:trPr>
        <w:tc>
          <w:tcPr>
            <w:tcW w:type="dxa" w:w="907"/>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Working</w:t>
            </w:r>
          </w:p>
        </w:tc>
        <w:tc>
          <w:tcPr>
            <w:tcW w:type="dxa" w:w="6552"/>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Mechanics check</w:t>
            </w:r>
          </w:p>
        </w:tc>
        <w:tc>
          <w:tcPr>
            <w:tcW w:type="dxa" w:w="2621"/>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Findings</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Weekly bonuses: regular rate recalculated in the week earned</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Monthly/quarterly/annual bonuses: allocated back across the workweeks covered and OT retroactively trued up</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Percentage-of-total-earnings bonuses: structured to include OT automatically (the clean shortcut)</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Multiple rates in one week: weighted average (or valid agreed-rate arrangement) applied</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Payroll system actually performs the true-up — verified with a sample calculation, not vendor assurances</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bl>
    <w:p>
      <w:pPr>
        <w:spacing w:after="160"/>
      </w:pPr>
      <w:r>
        <w:rPr>
          <w:rFonts w:ascii="Arial" w:cs="Arial" w:eastAsia="Arial" w:hAnsi="Arial"/>
          <w:color w:val="22303C"/>
          <w:sz w:val="8"/>
          <w:szCs w:val="8"/>
        </w:rPr>
        <w:t xml:space="preserve"> </w:t>
      </w:r>
    </w:p>
    <w:p>
      <w:pPr>
        <w:keepNext/>
        <w:spacing w:after="100" w:before="220"/>
      </w:pPr>
      <w:r>
        <w:rPr>
          <w:rFonts w:ascii="Arial" w:cs="Arial" w:eastAsia="Arial" w:hAnsi="Arial"/>
          <w:b/>
          <w:bCs/>
          <w:color w:val="1B3A52"/>
          <w:sz w:val="22"/>
          <w:szCs w:val="22"/>
        </w:rPr>
        <w:t xml:space="preserve">Part 6 — Sample Calculation Worksheet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427"/>
        <w:gridCol w:w="6653"/>
      </w:tblGrid>
      <w:tr>
        <w:tc>
          <w:tcPr>
            <w:tcW w:type="dxa" w:w="3427"/>
            <w:tcBorders>
              <w:top w:val="single" w:color="D8E0E8" w:sz="2"/>
              <w:left w:val="single" w:color="D8E0E8" w:sz="2"/>
              <w:bottom w:val="single" w:color="D8E0E8" w:sz="2"/>
              <w:right w:val="single" w:color="D8E0E8" w:sz="2"/>
            </w:tcBorders>
            <w:shd w:fill="F0F4F8" w:val="clear"/>
            <w:tcMar>
              <w:top w:type="dxa" w:w="70"/>
              <w:left w:type="dxa" w:w="110"/>
              <w:bottom w:type="dxa" w:w="70"/>
              <w:right w:type="dxa" w:w="110"/>
            </w:tcMar>
            <w:vAlign w:val="top"/>
          </w:tcPr>
          <w:p>
            <w:pPr>
              <w:spacing w:after="0"/>
            </w:pPr>
            <w:r>
              <w:rPr>
                <w:rFonts w:ascii="Arial" w:cs="Arial" w:eastAsia="Arial" w:hAnsi="Arial"/>
                <w:b/>
                <w:bCs/>
                <w:color w:val="1B3A52"/>
                <w:sz w:val="20"/>
                <w:szCs w:val="20"/>
              </w:rPr>
              <w:t xml:space="preserve">Employee / week sampled</w:t>
            </w:r>
          </w:p>
        </w:tc>
        <w:tc>
          <w:tcPr>
            <w:tcW w:type="dxa" w:w="665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427"/>
            <w:tcBorders>
              <w:top w:val="single" w:color="D8E0E8" w:sz="2"/>
              <w:left w:val="single" w:color="D8E0E8" w:sz="2"/>
              <w:bottom w:val="single" w:color="D8E0E8" w:sz="2"/>
              <w:right w:val="single" w:color="D8E0E8" w:sz="2"/>
            </w:tcBorders>
            <w:shd w:fill="F0F4F8" w:val="clear"/>
            <w:tcMar>
              <w:top w:type="dxa" w:w="70"/>
              <w:left w:type="dxa" w:w="110"/>
              <w:bottom w:type="dxa" w:w="70"/>
              <w:right w:type="dxa" w:w="110"/>
            </w:tcMar>
            <w:vAlign w:val="top"/>
          </w:tcPr>
          <w:p>
            <w:pPr>
              <w:spacing w:after="0"/>
            </w:pPr>
            <w:r>
              <w:rPr>
                <w:rFonts w:ascii="Arial" w:cs="Arial" w:eastAsia="Arial" w:hAnsi="Arial"/>
                <w:b/>
                <w:bCs/>
                <w:color w:val="1B3A52"/>
                <w:sz w:val="20"/>
                <w:szCs w:val="20"/>
              </w:rPr>
              <w:t xml:space="preserve">Total hours (incl. OT hours)</w:t>
            </w:r>
          </w:p>
        </w:tc>
        <w:tc>
          <w:tcPr>
            <w:tcW w:type="dxa" w:w="665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427"/>
            <w:tcBorders>
              <w:top w:val="single" w:color="D8E0E8" w:sz="2"/>
              <w:left w:val="single" w:color="D8E0E8" w:sz="2"/>
              <w:bottom w:val="single" w:color="D8E0E8" w:sz="2"/>
              <w:right w:val="single" w:color="D8E0E8" w:sz="2"/>
            </w:tcBorders>
            <w:shd w:fill="F0F4F8" w:val="clear"/>
            <w:tcMar>
              <w:top w:type="dxa" w:w="70"/>
              <w:left w:type="dxa" w:w="110"/>
              <w:bottom w:type="dxa" w:w="70"/>
              <w:right w:type="dxa" w:w="110"/>
            </w:tcMar>
            <w:vAlign w:val="top"/>
          </w:tcPr>
          <w:p>
            <w:pPr>
              <w:spacing w:after="0"/>
            </w:pPr>
            <w:r>
              <w:rPr>
                <w:rFonts w:ascii="Arial" w:cs="Arial" w:eastAsia="Arial" w:hAnsi="Arial"/>
                <w:b/>
                <w:bCs/>
                <w:color w:val="1B3A52"/>
                <w:sz w:val="20"/>
                <w:szCs w:val="20"/>
              </w:rPr>
              <w:t xml:space="preserve">Straight wages + all includable payments = total compensation</w:t>
            </w:r>
          </w:p>
        </w:tc>
        <w:tc>
          <w:tcPr>
            <w:tcW w:type="dxa" w:w="665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427"/>
            <w:tcBorders>
              <w:top w:val="single" w:color="D8E0E8" w:sz="2"/>
              <w:left w:val="single" w:color="D8E0E8" w:sz="2"/>
              <w:bottom w:val="single" w:color="D8E0E8" w:sz="2"/>
              <w:right w:val="single" w:color="D8E0E8" w:sz="2"/>
            </w:tcBorders>
            <w:shd w:fill="F0F4F8" w:val="clear"/>
            <w:tcMar>
              <w:top w:type="dxa" w:w="70"/>
              <w:left w:type="dxa" w:w="110"/>
              <w:bottom w:type="dxa" w:w="70"/>
              <w:right w:type="dxa" w:w="110"/>
            </w:tcMar>
            <w:vAlign w:val="top"/>
          </w:tcPr>
          <w:p>
            <w:pPr>
              <w:spacing w:after="0"/>
            </w:pPr>
            <w:r>
              <w:rPr>
                <w:rFonts w:ascii="Arial" w:cs="Arial" w:eastAsia="Arial" w:hAnsi="Arial"/>
                <w:b/>
                <w:bCs/>
                <w:color w:val="1B3A52"/>
                <w:sz w:val="20"/>
                <w:szCs w:val="20"/>
              </w:rPr>
              <w:t xml:space="preserve">Regular rate (total compensation ÷ total hours)</w:t>
            </w:r>
          </w:p>
        </w:tc>
        <w:tc>
          <w:tcPr>
            <w:tcW w:type="dxa" w:w="665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427"/>
            <w:tcBorders>
              <w:top w:val="single" w:color="D8E0E8" w:sz="2"/>
              <w:left w:val="single" w:color="D8E0E8" w:sz="2"/>
              <w:bottom w:val="single" w:color="D8E0E8" w:sz="2"/>
              <w:right w:val="single" w:color="D8E0E8" w:sz="2"/>
            </w:tcBorders>
            <w:shd w:fill="F0F4F8" w:val="clear"/>
            <w:tcMar>
              <w:top w:type="dxa" w:w="70"/>
              <w:left w:type="dxa" w:w="110"/>
              <w:bottom w:type="dxa" w:w="70"/>
              <w:right w:type="dxa" w:w="110"/>
            </w:tcMar>
            <w:vAlign w:val="top"/>
          </w:tcPr>
          <w:p>
            <w:pPr>
              <w:spacing w:after="0"/>
            </w:pPr>
            <w:r>
              <w:rPr>
                <w:rFonts w:ascii="Arial" w:cs="Arial" w:eastAsia="Arial" w:hAnsi="Arial"/>
                <w:b/>
                <w:bCs/>
                <w:color w:val="1B3A52"/>
                <w:sz w:val="20"/>
                <w:szCs w:val="20"/>
              </w:rPr>
              <w:t xml:space="preserve">OT premium owed (0.5 × regular rate × OT hours)</w:t>
            </w:r>
          </w:p>
        </w:tc>
        <w:tc>
          <w:tcPr>
            <w:tcW w:type="dxa" w:w="665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427"/>
            <w:tcBorders>
              <w:top w:val="single" w:color="D8E0E8" w:sz="2"/>
              <w:left w:val="single" w:color="D8E0E8" w:sz="2"/>
              <w:bottom w:val="single" w:color="D8E0E8" w:sz="2"/>
              <w:right w:val="single" w:color="D8E0E8" w:sz="2"/>
            </w:tcBorders>
            <w:shd w:fill="F0F4F8" w:val="clear"/>
            <w:tcMar>
              <w:top w:type="dxa" w:w="70"/>
              <w:left w:type="dxa" w:w="110"/>
              <w:bottom w:type="dxa" w:w="70"/>
              <w:right w:type="dxa" w:w="110"/>
            </w:tcMar>
            <w:vAlign w:val="top"/>
          </w:tcPr>
          <w:p>
            <w:pPr>
              <w:spacing w:after="0"/>
            </w:pPr>
            <w:r>
              <w:rPr>
                <w:rFonts w:ascii="Arial" w:cs="Arial" w:eastAsia="Arial" w:hAnsi="Arial"/>
                <w:b/>
                <w:bCs/>
                <w:color w:val="1B3A52"/>
                <w:sz w:val="20"/>
                <w:szCs w:val="20"/>
              </w:rPr>
              <w:t xml:space="preserve">What payroll actually paid — variance</w:t>
            </w:r>
          </w:p>
        </w:tc>
        <w:tc>
          <w:tcPr>
            <w:tcW w:type="dxa" w:w="665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bl>
    <w:p>
      <w:pPr>
        <w:spacing w:after="160"/>
      </w:pPr>
      <w:r>
        <w:rPr>
          <w:rFonts w:ascii="Arial" w:cs="Arial" w:eastAsia="Arial" w:hAnsi="Arial"/>
          <w:color w:val="22303C"/>
          <w:sz w:val="8"/>
          <w:szCs w:val="8"/>
        </w:rPr>
        <w:t xml:space="preserve"> </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25"/>
        <w:gridCol w:w="4636"/>
        <w:gridCol w:w="2219"/>
      </w:tblGrid>
      <w:tr>
        <w:trPr>
          <w:tblHeader/>
        </w:trPr>
        <w:tc>
          <w:tcPr>
            <w:tcW w:type="dxa" w:w="3225"/>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Role</w:t>
            </w:r>
          </w:p>
        </w:tc>
        <w:tc>
          <w:tcPr>
            <w:tcW w:type="dxa" w:w="4636"/>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Name / signature</w:t>
            </w:r>
          </w:p>
        </w:tc>
        <w:tc>
          <w:tcPr>
            <w:tcW w:type="dxa" w:w="2219"/>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Date</w:t>
            </w:r>
          </w:p>
        </w:tc>
      </w:tr>
      <w:tr>
        <w:tc>
          <w:tcPr>
            <w:tcW w:type="dxa" w:w="3225"/>
            <w:tcBorders>
              <w:top w:val="single" w:color="D8E0E8" w:sz="2"/>
              <w:left w:val="single" w:color="D8E0E8" w:sz="2"/>
              <w:bottom w:val="single" w:color="D8E0E8" w:sz="2"/>
              <w:right w:val="single" w:color="D8E0E8" w:sz="2"/>
            </w:tcBorders>
            <w:shd w:fill="F0F4F8" w:val="clear"/>
            <w:tcMar>
              <w:top w:type="dxa" w:w="70"/>
              <w:left w:type="dxa" w:w="110"/>
              <w:bottom w:type="dxa" w:w="70"/>
              <w:right w:type="dxa" w:w="110"/>
            </w:tcMar>
            <w:vAlign w:val="top"/>
          </w:tcPr>
          <w:p>
            <w:pPr>
              <w:spacing w:after="0"/>
            </w:pPr>
            <w:r>
              <w:rPr>
                <w:rFonts w:ascii="Arial" w:cs="Arial" w:eastAsia="Arial" w:hAnsi="Arial"/>
                <w:b/>
                <w:bCs/>
                <w:color w:val="1B3A52"/>
                <w:sz w:val="20"/>
                <w:szCs w:val="20"/>
              </w:rPr>
              <w:t xml:space="preserve">Audited by</w:t>
            </w:r>
          </w:p>
        </w:tc>
        <w:tc>
          <w:tcPr>
            <w:tcW w:type="dxa" w:w="4636"/>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before="240"/>
            </w:pPr>
            <w:r>
              <w:rPr>
                <w:rFonts w:ascii="Arial" w:cs="Arial" w:eastAsia="Arial" w:hAnsi="Arial"/>
                <w:color w:val="22303C"/>
                <w:sz w:val="20"/>
                <w:szCs w:val="20"/>
              </w:rPr>
              <w:t xml:space="preserve"> </w:t>
            </w:r>
          </w:p>
        </w:tc>
        <w:tc>
          <w:tcPr>
            <w:tcW w:type="dxa" w:w="2219"/>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before="240"/>
            </w:pPr>
            <w:r>
              <w:rPr>
                <w:rFonts w:ascii="Arial" w:cs="Arial" w:eastAsia="Arial" w:hAnsi="Arial"/>
                <w:color w:val="22303C"/>
                <w:sz w:val="20"/>
                <w:szCs w:val="20"/>
              </w:rPr>
              <w:t xml:space="preserve"> </w:t>
            </w:r>
          </w:p>
        </w:tc>
      </w:tr>
      <w:tr>
        <w:tc>
          <w:tcPr>
            <w:tcW w:type="dxa" w:w="3225"/>
            <w:tcBorders>
              <w:top w:val="single" w:color="D8E0E8" w:sz="2"/>
              <w:left w:val="single" w:color="D8E0E8" w:sz="2"/>
              <w:bottom w:val="single" w:color="D8E0E8" w:sz="2"/>
              <w:right w:val="single" w:color="D8E0E8" w:sz="2"/>
            </w:tcBorders>
            <w:shd w:fill="F0F4F8" w:val="clear"/>
            <w:tcMar>
              <w:top w:type="dxa" w:w="70"/>
              <w:left w:type="dxa" w:w="110"/>
              <w:bottom w:type="dxa" w:w="70"/>
              <w:right w:type="dxa" w:w="110"/>
            </w:tcMar>
            <w:vAlign w:val="top"/>
          </w:tcPr>
          <w:p>
            <w:pPr>
              <w:spacing w:after="0"/>
            </w:pPr>
            <w:r>
              <w:rPr>
                <w:rFonts w:ascii="Arial" w:cs="Arial" w:eastAsia="Arial" w:hAnsi="Arial"/>
                <w:b/>
                <w:bCs/>
                <w:color w:val="1B3A52"/>
                <w:sz w:val="20"/>
                <w:szCs w:val="20"/>
              </w:rPr>
              <w:t xml:space="preserve">Reviewed by</w:t>
            </w:r>
          </w:p>
        </w:tc>
        <w:tc>
          <w:tcPr>
            <w:tcW w:type="dxa" w:w="4636"/>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before="240"/>
            </w:pPr>
            <w:r>
              <w:rPr>
                <w:rFonts w:ascii="Arial" w:cs="Arial" w:eastAsia="Arial" w:hAnsi="Arial"/>
                <w:color w:val="22303C"/>
                <w:sz w:val="20"/>
                <w:szCs w:val="20"/>
              </w:rPr>
              <w:t xml:space="preserve"> </w:t>
            </w:r>
          </w:p>
        </w:tc>
        <w:tc>
          <w:tcPr>
            <w:tcW w:type="dxa" w:w="2219"/>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before="240"/>
            </w:pPr>
            <w:r>
              <w:rPr>
                <w:rFonts w:ascii="Arial" w:cs="Arial" w:eastAsia="Arial" w:hAnsi="Arial"/>
                <w:color w:val="22303C"/>
                <w:sz w:val="20"/>
                <w:szCs w:val="20"/>
              </w:rPr>
              <w:t xml:space="preserve"> </w:t>
            </w:r>
          </w:p>
        </w:tc>
      </w:tr>
    </w:tbl>
    <w:p>
      <w:pPr>
        <w:spacing w:after="160"/>
      </w:pPr>
      <w:r>
        <w:rPr>
          <w:rFonts w:ascii="Arial" w:cs="Arial" w:eastAsia="Arial" w:hAnsi="Arial"/>
          <w:color w:val="22303C"/>
          <w:sz w:val="8"/>
          <w:szCs w:val="8"/>
        </w:rPr>
        <w:t xml:space="preserve"> </w:t>
      </w:r>
    </w:p>
    <w:p>
      <w:pPr>
        <w:keepNext/>
        <w:pBdr>
          <w:bottom w:val="single" w:color="C49A3C" w:sz="8" w:space="3"/>
        </w:pBdr>
        <w:spacing w:after="140" w:before="320"/>
      </w:pPr>
      <w:r>
        <w:rPr>
          <w:rFonts w:ascii="Arial" w:cs="Arial" w:eastAsia="Arial" w:hAnsi="Arial"/>
          <w:b/>
          <w:bCs/>
          <w:color w:val="1B3A52"/>
          <w:spacing w:val="20"/>
          <w:sz w:val="24"/>
          <w:szCs w:val="24"/>
        </w:rPr>
        <w:t xml:space="preserve">STOP AND REVIEW BEFORE ACTING</w:t>
      </w:r>
    </w:p>
    <w:p>
      <w:pPr>
        <w:spacing w:after="140" w:line="288"/>
      </w:pPr>
      <w:r>
        <w:rPr>
          <w:rFonts w:ascii="Arial" w:cs="Arial" w:eastAsia="Arial" w:hAnsi="Arial"/>
          <w:color w:val="4A5A6A"/>
          <w:sz w:val="20"/>
          <w:szCs w:val="20"/>
        </w:rPr>
        <w:t xml:space="preserve">If any statement below is true, pause. Get the decision reviewed by HR, counsel, or Faulkner HR Solutions before you act.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8E0E8" w:sz="2"/>
              <w:left w:val="single" w:color="B33A3A" w:sz="24"/>
              <w:bottom w:val="single" w:color="D8E0E8" w:sz="2"/>
              <w:right w:val="single" w:color="D8E0E8" w:sz="2"/>
            </w:tcBorders>
            <w:shd w:fill="FBF1F1" w:val="clear"/>
            <w:tcMar>
              <w:top w:type="dxa" w:w="140"/>
              <w:left w:type="dxa" w:w="180"/>
              <w:bottom w:type="dxa" w:w="140"/>
              <w:right w:type="dxa" w:w="180"/>
            </w:tcMar>
          </w:tcPr>
          <w:p>
            <w:pPr>
              <w:spacing w:after="90" w:line="288"/>
            </w:pPr>
            <w:r>
              <w:rPr>
                <w:rFonts w:ascii="Arial" w:cs="Arial" w:eastAsia="Arial" w:hAnsi="Arial"/>
                <w:color w:val="B33A3A"/>
                <w:sz w:val="24"/>
                <w:szCs w:val="24"/>
              </w:rPr>
              <w:t xml:space="preserve">☐  </w:t>
            </w:r>
            <w:r>
              <w:rPr>
                <w:rFonts w:ascii="Arial" w:cs="Arial" w:eastAsia="Arial" w:hAnsi="Arial"/>
                <w:color w:val="22303C"/>
                <w:sz w:val="20"/>
                <w:szCs w:val="20"/>
              </w:rPr>
              <w:t xml:space="preserve">Any bonus labeled 'discretionary' that employees can predict or count on.</w:t>
            </w:r>
          </w:p>
          <w:p>
            <w:pPr>
              <w:spacing w:after="90" w:line="288"/>
            </w:pPr>
            <w:r>
              <w:rPr>
                <w:rFonts w:ascii="Arial" w:cs="Arial" w:eastAsia="Arial" w:hAnsi="Arial"/>
                <w:color w:val="B33A3A"/>
                <w:sz w:val="24"/>
                <w:szCs w:val="24"/>
              </w:rPr>
              <w:t xml:space="preserve">☐  </w:t>
            </w:r>
            <w:r>
              <w:rPr>
                <w:rFonts w:ascii="Arial" w:cs="Arial" w:eastAsia="Arial" w:hAnsi="Arial"/>
                <w:color w:val="22303C"/>
                <w:sz w:val="20"/>
                <w:szCs w:val="20"/>
              </w:rPr>
              <w:t xml:space="preserve">Overtime paid at 1.5x the base hourly rate in weeks where bonuses or differentials were earned.</w:t>
            </w:r>
          </w:p>
          <w:p>
            <w:pPr>
              <w:spacing w:after="90" w:line="288"/>
            </w:pPr>
            <w:r>
              <w:rPr>
                <w:rFonts w:ascii="Arial" w:cs="Arial" w:eastAsia="Arial" w:hAnsi="Arial"/>
                <w:color w:val="B33A3A"/>
                <w:sz w:val="24"/>
                <w:szCs w:val="24"/>
              </w:rPr>
              <w:t xml:space="preserve">☐  </w:t>
            </w:r>
            <w:r>
              <w:rPr>
                <w:rFonts w:ascii="Arial" w:cs="Arial" w:eastAsia="Arial" w:hAnsi="Arial"/>
                <w:color w:val="22303C"/>
                <w:sz w:val="20"/>
                <w:szCs w:val="20"/>
              </w:rPr>
              <w:t xml:space="preserve">Quarterly or annual bonuses paid with no retroactive OT true-up — ever.</w:t>
            </w:r>
          </w:p>
          <w:p>
            <w:pPr>
              <w:spacing w:after="90" w:line="288"/>
            </w:pPr>
            <w:r>
              <w:rPr>
                <w:rFonts w:ascii="Arial" w:cs="Arial" w:eastAsia="Arial" w:hAnsi="Arial"/>
                <w:color w:val="B33A3A"/>
                <w:sz w:val="24"/>
                <w:szCs w:val="24"/>
              </w:rPr>
              <w:t xml:space="preserve">☐  </w:t>
            </w:r>
            <w:r>
              <w:rPr>
                <w:rFonts w:ascii="Arial" w:cs="Arial" w:eastAsia="Arial" w:hAnsi="Arial"/>
                <w:color w:val="22303C"/>
                <w:sz w:val="20"/>
                <w:szCs w:val="20"/>
              </w:rPr>
              <w:t xml:space="preserve">The payroll vendor 'handles it' but no one has verified with an actual calculation.</w:t>
            </w:r>
          </w:p>
          <w:p>
            <w:pPr>
              <w:spacing w:after="0" w:line="288"/>
            </w:pPr>
            <w:r>
              <w:rPr>
                <w:rFonts w:ascii="Arial" w:cs="Arial" w:eastAsia="Arial" w:hAnsi="Arial"/>
                <w:color w:val="B33A3A"/>
                <w:sz w:val="24"/>
                <w:szCs w:val="24"/>
              </w:rPr>
              <w:t xml:space="preserve">☐  </w:t>
            </w:r>
            <w:r>
              <w:rPr>
                <w:rFonts w:ascii="Arial" w:cs="Arial" w:eastAsia="Arial" w:hAnsi="Arial"/>
                <w:color w:val="22303C"/>
                <w:sz w:val="20"/>
                <w:szCs w:val="20"/>
              </w:rPr>
              <w:t xml:space="preserve">A nonexempt employee has already questioned their overtime math.</w:t>
            </w:r>
          </w:p>
        </w:tc>
      </w:tr>
    </w:tbl>
    <w:p>
      <w:pPr>
        <w:keepNext/>
        <w:pBdr>
          <w:bottom w:val="single" w:color="C49A3C" w:sz="8" w:space="3"/>
        </w:pBdr>
        <w:spacing w:after="140" w:before="320"/>
      </w:pPr>
      <w:r>
        <w:rPr>
          <w:rFonts w:ascii="Arial" w:cs="Arial" w:eastAsia="Arial" w:hAnsi="Arial"/>
          <w:b/>
          <w:bCs/>
          <w:color w:val="1B3A52"/>
          <w:spacing w:val="20"/>
          <w:sz w:val="24"/>
          <w:szCs w:val="24"/>
        </w:rPr>
        <w:t xml:space="preserve">MINIMUM DOCUMENTATION STANDARD</w:t>
      </w:r>
    </w:p>
    <w:p>
      <w:pPr>
        <w:spacing w:after="140" w:line="288"/>
      </w:pPr>
      <w:r>
        <w:rPr>
          <w:rFonts w:ascii="Arial" w:cs="Arial" w:eastAsia="Arial" w:hAnsi="Arial"/>
          <w:color w:val="4A5A6A"/>
          <w:sz w:val="20"/>
          <w:szCs w:val="20"/>
        </w:rPr>
        <w:t xml:space="preserve">Before this file is closed, the employer should be able to answer every question below and point to where the proof lives.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233"/>
        <w:gridCol w:w="5847"/>
      </w:tblGrid>
      <w:tr>
        <w:trPr>
          <w:tblHeader/>
        </w:trPr>
        <w:tc>
          <w:tcPr>
            <w:tcW w:type="dxa" w:w="4233"/>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Question</w:t>
            </w:r>
          </w:p>
        </w:tc>
        <w:tc>
          <w:tcPr>
            <w:tcW w:type="dxa" w:w="5847"/>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Your answer / where the proof is stored</w:t>
            </w:r>
          </w:p>
        </w:tc>
      </w:tr>
      <w:tr>
        <w:tc>
          <w:tcPr>
            <w:tcW w:type="dxa" w:w="423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What happened?</w:t>
            </w:r>
          </w:p>
        </w:tc>
        <w:tc>
          <w:tcPr>
            <w:tcW w:type="dxa" w:w="584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423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When did it happen?</w:t>
            </w:r>
          </w:p>
        </w:tc>
        <w:tc>
          <w:tcPr>
            <w:tcW w:type="dxa" w:w="584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423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Who observed or reported it?</w:t>
            </w:r>
          </w:p>
        </w:tc>
        <w:tc>
          <w:tcPr>
            <w:tcW w:type="dxa" w:w="584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423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What policy, standard, deadline, or expectation applies?</w:t>
            </w:r>
          </w:p>
        </w:tc>
        <w:tc>
          <w:tcPr>
            <w:tcW w:type="dxa" w:w="584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423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What decision was made?</w:t>
            </w:r>
          </w:p>
        </w:tc>
        <w:tc>
          <w:tcPr>
            <w:tcW w:type="dxa" w:w="584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423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Who had authority to make the decision?</w:t>
            </w:r>
          </w:p>
        </w:tc>
        <w:tc>
          <w:tcPr>
            <w:tcW w:type="dxa" w:w="584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423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What alternatives were considered?</w:t>
            </w:r>
          </w:p>
        </w:tc>
        <w:tc>
          <w:tcPr>
            <w:tcW w:type="dxa" w:w="584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423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What risk was reviewed?</w:t>
            </w:r>
          </w:p>
        </w:tc>
        <w:tc>
          <w:tcPr>
            <w:tcW w:type="dxa" w:w="584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423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What follow-up is required?</w:t>
            </w:r>
          </w:p>
        </w:tc>
        <w:tc>
          <w:tcPr>
            <w:tcW w:type="dxa" w:w="584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423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Where is the proof stored?</w:t>
            </w:r>
          </w:p>
        </w:tc>
        <w:tc>
          <w:tcPr>
            <w:tcW w:type="dxa" w:w="584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bl>
    <w:p>
      <w:pPr>
        <w:keepNext/>
        <w:pBdr>
          <w:bottom w:val="single" w:color="C49A3C" w:sz="8" w:space="3"/>
        </w:pBdr>
        <w:spacing w:after="140" w:before="320"/>
      </w:pPr>
      <w:r>
        <w:rPr>
          <w:rFonts w:ascii="Arial" w:cs="Arial" w:eastAsia="Arial" w:hAnsi="Arial"/>
          <w:b/>
          <w:bCs/>
          <w:color w:val="1B3A52"/>
          <w:spacing w:val="20"/>
          <w:sz w:val="24"/>
          <w:szCs w:val="24"/>
        </w:rPr>
        <w:t xml:space="preserve">COMMON MISTAKES</w:t>
      </w:r>
    </w:p>
    <w:p>
      <w:pPr>
        <w:pStyle w:val="ListParagraph"/>
        <w:numPr>
          <w:ilvl w:val="0"/>
          <w:numId w:val="3"/>
        </w:numPr>
        <w:spacing w:after="90" w:line="288"/>
      </w:pPr>
      <w:r>
        <w:rPr>
          <w:rFonts w:ascii="Arial" w:cs="Arial" w:eastAsia="Arial" w:hAnsi="Arial"/>
          <w:color w:val="22303C"/>
          <w:sz w:val="21"/>
          <w:szCs w:val="21"/>
        </w:rPr>
        <w:t xml:space="preserve">Paying overtime on base rate alone while bonuses ride along untouched.</w:t>
      </w:r>
    </w:p>
    <w:p>
      <w:pPr>
        <w:pStyle w:val="ListParagraph"/>
        <w:numPr>
          <w:ilvl w:val="0"/>
          <w:numId w:val="3"/>
        </w:numPr>
        <w:spacing w:after="90" w:line="288"/>
      </w:pPr>
      <w:r>
        <w:rPr>
          <w:rFonts w:ascii="Arial" w:cs="Arial" w:eastAsia="Arial" w:hAnsi="Arial"/>
          <w:color w:val="22303C"/>
          <w:sz w:val="21"/>
          <w:szCs w:val="21"/>
        </w:rPr>
        <w:t xml:space="preserve">Calling every bonus discretionary because the handbook says so.</w:t>
      </w:r>
    </w:p>
    <w:p>
      <w:pPr>
        <w:pStyle w:val="ListParagraph"/>
        <w:numPr>
          <w:ilvl w:val="0"/>
          <w:numId w:val="3"/>
        </w:numPr>
        <w:spacing w:after="90" w:line="288"/>
      </w:pPr>
      <w:r>
        <w:rPr>
          <w:rFonts w:ascii="Arial" w:cs="Arial" w:eastAsia="Arial" w:hAnsi="Arial"/>
          <w:color w:val="22303C"/>
          <w:sz w:val="21"/>
          <w:szCs w:val="21"/>
        </w:rPr>
        <w:t xml:space="preserve">Skipping the retroactive true-up for period bonuses covering OT weeks.</w:t>
      </w:r>
    </w:p>
    <w:p>
      <w:pPr>
        <w:pStyle w:val="ListParagraph"/>
        <w:numPr>
          <w:ilvl w:val="0"/>
          <w:numId w:val="3"/>
        </w:numPr>
        <w:spacing w:after="90" w:line="288"/>
      </w:pPr>
      <w:r>
        <w:rPr>
          <w:rFonts w:ascii="Arial" w:cs="Arial" w:eastAsia="Arial" w:hAnsi="Arial"/>
          <w:color w:val="22303C"/>
          <w:sz w:val="21"/>
          <w:szCs w:val="21"/>
        </w:rPr>
        <w:t xml:space="preserve">Forgetting shift differentials in the rate for night and weekend OT.</w:t>
      </w:r>
    </w:p>
    <w:p>
      <w:pPr>
        <w:pStyle w:val="ListParagraph"/>
        <w:numPr>
          <w:ilvl w:val="0"/>
          <w:numId w:val="3"/>
        </w:numPr>
        <w:spacing w:after="90" w:line="288"/>
      </w:pPr>
      <w:r>
        <w:rPr>
          <w:rFonts w:ascii="Arial" w:cs="Arial" w:eastAsia="Arial" w:hAnsi="Arial"/>
          <w:color w:val="22303C"/>
          <w:sz w:val="21"/>
          <w:szCs w:val="21"/>
        </w:rPr>
        <w:t xml:space="preserve">Averaging rates across weeks instead of computing each workweek separately.</w:t>
      </w:r>
    </w:p>
    <w:p>
      <w:pPr>
        <w:pStyle w:val="ListParagraph"/>
        <w:numPr>
          <w:ilvl w:val="0"/>
          <w:numId w:val="3"/>
        </w:numPr>
        <w:spacing w:after="90" w:line="288"/>
      </w:pPr>
      <w:r>
        <w:rPr>
          <w:rFonts w:ascii="Arial" w:cs="Arial" w:eastAsia="Arial" w:hAnsi="Arial"/>
          <w:color w:val="22303C"/>
          <w:sz w:val="21"/>
          <w:szCs w:val="21"/>
        </w:rPr>
        <w:t xml:space="preserve">Assuming the payroll system does all this by default — most need explicit configuration.</w:t>
      </w:r>
    </w:p>
    <w:p>
      <w:pPr>
        <w:keepNext/>
        <w:pBdr>
          <w:bottom w:val="single" w:color="C49A3C" w:sz="8" w:space="3"/>
        </w:pBdr>
        <w:spacing w:after="140" w:before="320"/>
      </w:pPr>
      <w:r>
        <w:rPr>
          <w:rFonts w:ascii="Arial" w:cs="Arial" w:eastAsia="Arial" w:hAnsi="Arial"/>
          <w:b/>
          <w:bCs/>
          <w:color w:val="1B3A52"/>
          <w:spacing w:val="20"/>
          <w:sz w:val="24"/>
          <w:szCs w:val="24"/>
        </w:rPr>
        <w:t xml:space="preserve">WHAT TO DO NEXT</w:t>
      </w:r>
    </w:p>
    <w:p>
      <w:pPr>
        <w:spacing w:after="120" w:line="300"/>
      </w:pPr>
      <w:r>
        <w:rPr>
          <w:rFonts w:ascii="Arial" w:cs="Arial" w:eastAsia="Arial" w:hAnsi="Arial"/>
          <w:color w:val="22303C"/>
          <w:sz w:val="21"/>
          <w:szCs w:val="21"/>
        </w:rPr>
        <w:t xml:space="preserve">Quantify any variance found across a two-year look-back before deciding on correction strategy, fix the payroll configuration going forward, and restructure bonus programs (percentage-of-earnings bonuses solve the true-up automatically). If back wages are owed, get advice on correction mechanics before writing checks — how you correct matters.</w:t>
      </w:r>
    </w:p>
    <w:p>
      <w:pPr>
        <w:spacing w:after="0" w:before="120"/>
      </w:pPr>
      <w:r>
        <w:rPr>
          <w:rFonts w:ascii="Arial" w:cs="Arial" w:eastAsia="Arial" w:hAnsi="Arial"/>
          <w:color w:val="22303C"/>
          <w:sz w:val="8"/>
          <w:szCs w:val="8"/>
        </w:rPr>
        <w:t xml:space="preserve"> </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8E0E8" w:sz="2"/>
              <w:left w:val="single" w:color="1B3A52" w:sz="24"/>
              <w:bottom w:val="single" w:color="D8E0E8" w:sz="2"/>
              <w:right w:val="single" w:color="D8E0E8" w:sz="2"/>
            </w:tcBorders>
            <w:shd w:fill="F0F4F8" w:val="clear"/>
            <w:tcMar>
              <w:top w:type="dxa" w:w="140"/>
              <w:left w:type="dxa" w:w="180"/>
              <w:bottom w:type="dxa" w:w="140"/>
              <w:right w:type="dxa" w:w="180"/>
            </w:tcMar>
          </w:tcPr>
          <w:p>
            <w:pPr>
              <w:spacing w:after="80" w:line="288"/>
            </w:pPr>
            <w:r>
              <w:rPr>
                <w:rFonts w:ascii="Arial" w:cs="Arial" w:eastAsia="Arial" w:hAnsi="Arial"/>
                <w:b/>
                <w:bCs/>
                <w:color w:val="1B3A52"/>
                <w:sz w:val="21"/>
                <w:szCs w:val="21"/>
              </w:rPr>
              <w:t xml:space="preserve">Before you terminate, deduct, discipline, classify, or respond, get the decision reviewed.</w:t>
            </w:r>
          </w:p>
          <w:p>
            <w:pPr>
              <w:spacing w:after="0"/>
            </w:pPr>
            <w:r>
              <w:rPr>
                <w:rFonts w:ascii="Arial" w:cs="Arial" w:eastAsia="Arial" w:hAnsi="Arial"/>
                <w:color w:val="22303C"/>
                <w:sz w:val="20"/>
                <w:szCs w:val="20"/>
              </w:rPr>
              <w:t xml:space="preserve">Call 210.446.8730 or email thomas@faulknerhrsolutions.info.</w:t>
            </w:r>
          </w:p>
        </w:tc>
      </w:tr>
    </w:tbl>
    <w:p>
      <w:pPr>
        <w:pageBreakBefore/>
        <w:spacing w:after="200"/>
      </w:pPr>
      <w:r>
        <w:rPr>
          <w:rFonts w:ascii="Arial" w:cs="Arial" w:eastAsia="Arial" w:hAnsi="Arial"/>
          <w:color w:val="22303C"/>
          <w:sz w:val="8"/>
          <w:szCs w:val="8"/>
        </w:rPr>
        <w:t xml:space="preserve"> </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8E0E8" w:sz="2"/>
              <w:left w:val="single" w:color="1B3A52" w:sz="24"/>
              <w:bottom w:val="single" w:color="D8E0E8" w:sz="2"/>
              <w:right w:val="single" w:color="D8E0E8" w:sz="2"/>
            </w:tcBorders>
            <w:shd w:fill="F0F4F8" w:val="clear"/>
            <w:tcMar>
              <w:top w:type="dxa" w:w="140"/>
              <w:left w:type="dxa" w:w="180"/>
              <w:bottom w:type="dxa" w:w="140"/>
              <w:right w:type="dxa" w:w="180"/>
            </w:tcMar>
          </w:tcPr>
          <w:p>
            <w:pPr>
              <w:spacing w:after="0" w:line="300"/>
            </w:pPr>
            <w:r>
              <w:rPr>
                <w:rFonts w:ascii="Arial" w:cs="Arial" w:eastAsia="Arial" w:hAnsi="Arial"/>
                <w:b/>
                <w:bCs/>
                <w:i/>
                <w:iCs/>
                <w:color w:val="1B3A52"/>
                <w:sz w:val="21"/>
                <w:szCs w:val="21"/>
              </w:rPr>
              <w:t xml:space="preserve">Before you process payroll, terminate, classify, deduct, or respond to a claim, get the decision reviewed.</w:t>
            </w:r>
          </w:p>
        </w:tc>
      </w:tr>
    </w:tbl>
    <w:p>
      <w:pPr>
        <w:spacing w:after="200"/>
      </w:pPr>
      <w:r>
        <w:rPr>
          <w:rFonts w:ascii="Arial" w:cs="Arial" w:eastAsia="Arial" w:hAnsi="Arial"/>
          <w:color w:val="22303C"/>
          <w:sz w:val="8"/>
          <w:szCs w:val="8"/>
        </w:rPr>
        <w:t xml:space="preserve"> </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8E0E8" w:sz="2"/>
              <w:left w:val="single" w:color="C49A3C" w:sz="24"/>
              <w:bottom w:val="single" w:color="D8E0E8" w:sz="2"/>
              <w:right w:val="single" w:color="D8E0E8" w:sz="2"/>
            </w:tcBorders>
            <w:shd w:fill="FBF6EC" w:val="clear"/>
            <w:tcMar>
              <w:top w:type="dxa" w:w="140"/>
              <w:left w:type="dxa" w:w="180"/>
              <w:bottom w:type="dxa" w:w="140"/>
              <w:right w:type="dxa" w:w="180"/>
            </w:tcMar>
          </w:tcPr>
          <w:p>
            <w:pPr>
              <w:spacing w:after="140"/>
            </w:pPr>
            <w:r>
              <w:rPr>
                <w:rFonts w:ascii="Arial" w:cs="Arial" w:eastAsia="Arial" w:hAnsi="Arial"/>
                <w:b/>
                <w:bCs/>
                <w:color w:val="1B3A52"/>
                <w:sz w:val="28"/>
                <w:szCs w:val="28"/>
              </w:rPr>
              <w:t xml:space="preserve">Need help applying this to a real workplace decision?</w:t>
            </w:r>
          </w:p>
          <w:p>
            <w:pPr>
              <w:spacing w:after="120" w:line="300"/>
            </w:pPr>
            <w:r>
              <w:rPr>
                <w:rFonts w:ascii="Arial" w:cs="Arial" w:eastAsia="Arial" w:hAnsi="Arial"/>
                <w:color w:val="22303C"/>
                <w:sz w:val="21"/>
                <w:szCs w:val="21"/>
              </w:rPr>
              <w:t xml:space="preserve">Faulkner HR Solutions helps Texas employers, nonprofits, municipalities, and growing businesses fix the people systems behind recurring workplace problems.</w:t>
            </w:r>
          </w:p>
          <w:p>
            <w:pPr>
              <w:spacing w:after="160" w:line="300"/>
            </w:pPr>
            <w:r>
              <w:rPr>
                <w:rFonts w:ascii="Arial" w:cs="Arial" w:eastAsia="Arial" w:hAnsi="Arial"/>
                <w:b/>
                <w:bCs/>
                <w:color w:val="22303C"/>
                <w:sz w:val="21"/>
                <w:szCs w:val="21"/>
              </w:rPr>
              <w:t xml:space="preserve">If this document raised a risk flag, do not guess your way through the next step.</w:t>
            </w:r>
          </w:p>
          <w:p>
            <w:pPr>
              <w:spacing w:after="60"/>
            </w:pPr>
            <w:r>
              <w:rPr>
                <w:rFonts w:ascii="Arial" w:cs="Arial" w:eastAsia="Arial" w:hAnsi="Arial"/>
                <w:b/>
                <w:bCs/>
                <w:color w:val="1B3A52"/>
                <w:sz w:val="21"/>
                <w:szCs w:val="21"/>
              </w:rPr>
              <w:t xml:space="preserve">Call:  </w:t>
            </w:r>
            <w:r>
              <w:rPr>
                <w:rFonts w:ascii="Arial" w:cs="Arial" w:eastAsia="Arial" w:hAnsi="Arial"/>
                <w:b/>
                <w:bCs/>
                <w:color w:val="1B3A52"/>
                <w:sz w:val="24"/>
                <w:szCs w:val="24"/>
              </w:rPr>
              <w:t xml:space="preserve">210.446.8730</w:t>
            </w:r>
          </w:p>
          <w:p>
            <w:pPr>
              <w:spacing w:after="60"/>
            </w:pPr>
            <w:r>
              <w:rPr>
                <w:rFonts w:ascii="Arial" w:cs="Arial" w:eastAsia="Arial" w:hAnsi="Arial"/>
                <w:b/>
                <w:bCs/>
                <w:color w:val="1B3A52"/>
                <w:sz w:val="21"/>
                <w:szCs w:val="21"/>
              </w:rPr>
              <w:t xml:space="preserve">Email:  </w:t>
            </w:r>
            <w:r>
              <w:rPr>
                <w:rFonts w:ascii="Arial" w:cs="Arial" w:eastAsia="Arial" w:hAnsi="Arial"/>
                <w:color w:val="22303C"/>
                <w:sz w:val="22"/>
                <w:szCs w:val="22"/>
              </w:rPr>
              <w:t xml:space="preserve">thomas@faulknerhrsolutions.info</w:t>
            </w:r>
          </w:p>
          <w:p>
            <w:pPr>
              <w:spacing w:after="0"/>
            </w:pPr>
            <w:r>
              <w:rPr>
                <w:rFonts w:ascii="Arial" w:cs="Arial" w:eastAsia="Arial" w:hAnsi="Arial"/>
                <w:b/>
                <w:bCs/>
                <w:color w:val="1B3A52"/>
                <w:sz w:val="21"/>
                <w:szCs w:val="21"/>
              </w:rPr>
              <w:t xml:space="preserve">Website:  </w:t>
            </w:r>
            <w:r>
              <w:rPr>
                <w:rFonts w:ascii="Arial" w:cs="Arial" w:eastAsia="Arial" w:hAnsi="Arial"/>
                <w:color w:val="22303C"/>
                <w:sz w:val="22"/>
                <w:szCs w:val="22"/>
              </w:rPr>
              <w:t xml:space="preserve">faulknerhrsolutions.info</w:t>
            </w:r>
          </w:p>
        </w:tc>
      </w:tr>
    </w:tbl>
    <w:p>
      <w:pPr>
        <w:spacing w:after="100" w:before="300"/>
      </w:pPr>
      <w:r>
        <w:rPr>
          <w:rFonts w:ascii="Arial" w:cs="Arial" w:eastAsia="Arial" w:hAnsi="Arial"/>
          <w:b/>
          <w:bCs/>
          <w:color w:val="4A5A6A"/>
          <w:spacing w:val="20"/>
          <w:sz w:val="18"/>
          <w:szCs w:val="18"/>
        </w:rPr>
        <w:t xml:space="preserve">DISCLAIMER</w:t>
      </w:r>
    </w:p>
    <w:p>
      <w:pPr>
        <w:spacing w:after="0" w:line="276"/>
      </w:pPr>
      <w:r>
        <w:rPr>
          <w:rFonts w:ascii="Arial" w:cs="Arial" w:eastAsia="Arial" w:hAnsi="Arial"/>
          <w:color w:val="4A5A6A"/>
          <w:sz w:val="18"/>
          <w:szCs w:val="18"/>
        </w:rPr>
        <w:t xml:space="preserve">This resource is provided for general employer education and planning purposes. It is not legal advice and does not create an attorney-client relationship. Employment laws, agency guidance, and local requirements may change. Employers should review the facts of each situation before acting and consult appropriate HR or legal counsel when needed.</w:t>
      </w:r>
    </w:p>
    <w:sectPr>
      <w:headerReference w:type="default" r:id="rId7"/>
      <w:footerReference w:type="default" r:id="rId8"/>
      <w:pgSz w:w="12240" w:h="15840" w:orient="portrait"/>
      <w:pgMar w:top="1280" w:right="1080" w:bottom="11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E0E8" w:sz="4" w:space="4"/>
      </w:pBdr>
      <w:spacing w:after="0" w:before="80"/>
      <w:jc w:val="center"/>
    </w:pPr>
    <w:r>
      <w:rPr>
        <w:rFonts w:ascii="Arial" w:cs="Arial" w:eastAsia="Arial" w:hAnsi="Arial"/>
        <w:color w:val="4A5A6A"/>
        <w:sz w:val="14"/>
        <w:szCs w:val="14"/>
      </w:rPr>
      <w:t xml:space="preserve">Faulkner HR Solutions | Regular Rate Audit | Version 2026.1 | 210.446.8730 | thomas@faulknerhrsolutions.info | faulknerhrsolutions.info/resources/regular-rate-of-pay-audit-checklist/ | Page </w:t>
    </w:r>
    <w:r>
      <w:rPr>
        <w:rFonts w:ascii="Arial" w:cs="Arial" w:eastAsia="Arial" w:hAnsi="Arial"/>
        <w:color w:val="4A5A6A"/>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3A52" w:sz="10" w:space="4"/>
      </w:pBdr>
      <w:tabs>
        <w:tab w:val="right" w:pos="10080"/>
      </w:tabs>
      <w:spacing w:after="120"/>
    </w:pPr>
    <w:r>
      <w:drawing>
        <wp:inline distT="0" distB="0" distL="0" distR="0">
          <wp:extent cx="247650" cy="247650"/>
          <wp:effectExtent t="0" r="0" b="0" l="0"/>
          <wp:docPr id="1" name="FHRS logo" descr="Faulkner HR Solutions logo" title="Faulkner HR Sol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b/>
        <w:bCs/>
        <w:color w:val="1B3A52"/>
        <w:spacing w:val="20"/>
        <w:sz w:val="19"/>
        <w:szCs w:val="19"/>
      </w:rPr>
      <w:t xml:space="preserve">  FAULKNER HR SOLUTIONS</w:t>
    </w:r>
    <w:r>
      <w:rPr>
        <w:rFonts w:ascii="Arial" w:cs="Arial" w:eastAsia="Arial" w:hAnsi="Arial"/>
        <w:b/>
        <w:bCs/>
        <w:color w:val="C49A3C"/>
        <w:spacing w:val="30"/>
        <w:sz w:val="18"/>
        <w:szCs w:val="18"/>
      </w:rPr>
      <w:t xml:space="preserve">	COMPENSATION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abstractNum w:abstractNumId="3" w15:restartNumberingAfterBreak="0">
    <w:multiLevelType w:val="hybridMultilevel"/>
    <w:lvl w:ilvl="0" w15:tentative="1">
      <w:start w:val="1"/>
      <w:numFmt w:val="decimal"/>
      <w:lvlText w:val="%1."/>
      <w:lvlJc w:val="left"/>
      <w:pPr>
        <w:ind w:left="4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303C"/>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2637c615e06f591d83d3816096da2235005184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Rate of Pay Audit Checklist</dc:title>
  <dc:creator>Faulkner HR Solutions</dc:creator>
  <dc:description>Find the bonuses, differentials, and incentives your overtime math is ignoring — before a wage claim finds them for you.</dc:description>
  <cp:lastModifiedBy>Un-named</cp:lastModifiedBy>
  <cp:revision>1</cp:revision>
  <dcterms:created xsi:type="dcterms:W3CDTF">2026-07-04T08:16:05.891Z</dcterms:created>
  <dcterms:modified xsi:type="dcterms:W3CDTF">2026-07-04T08:16:05.891Z</dcterms:modified>
</cp:coreProperties>
</file>

<file path=docProps/custom.xml><?xml version="1.0" encoding="utf-8"?>
<Properties xmlns="http://schemas.openxmlformats.org/officeDocument/2006/custom-properties" xmlns:vt="http://schemas.openxmlformats.org/officeDocument/2006/docPropsVTypes"/>
</file>