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POLICY TEMPLATE  |  JURISDICTION: MUNICIPAL / PUBLIC SECTOR  |  VERSION 2026.1</w:t>
      </w:r>
    </w:p>
    <w:p>
      <w:pPr>
        <w:spacing w:after="120"/>
      </w:pPr>
      <w:r>
        <w:rPr>
          <w:rFonts w:ascii="Arial" w:cs="Arial" w:eastAsia="Arial" w:hAnsi="Arial"/>
          <w:b/>
          <w:bCs/>
          <w:color w:val="1B3A52"/>
          <w:sz w:val="44"/>
          <w:szCs w:val="44"/>
        </w:rPr>
        <w:t xml:space="preserve">Public Works On-Call Policy Template</w:t>
      </w:r>
    </w:p>
    <w:p>
      <w:pPr>
        <w:spacing w:after="200" w:line="300"/>
      </w:pPr>
      <w:r>
        <w:rPr>
          <w:rFonts w:ascii="Arial" w:cs="Arial" w:eastAsia="Arial" w:hAnsi="Arial"/>
          <w:i/>
          <w:iCs/>
          <w:color w:val="4A5A6A"/>
          <w:sz w:val="22"/>
          <w:szCs w:val="22"/>
        </w:rPr>
        <w:t xml:space="preserve">A complete on-call policy for public works: rotation, response times, pay, call-back, equipment, fatigue, and documentation.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template to put water breaks, sewer backups, and ice storms on a written system — who is on call, what they're paid, how fast they respond, and how fatigue and records are managed.</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When on-call rotation currently lives in the supervisor's head</w:t>
      </w:r>
    </w:p>
    <w:p>
      <w:pPr>
        <w:pStyle w:val="ListParagraph"/>
        <w:numPr>
          <w:ilvl w:val="0"/>
          <w:numId w:val="2"/>
        </w:numPr>
        <w:spacing w:after="80" w:line="288"/>
      </w:pPr>
      <w:r>
        <w:rPr>
          <w:rFonts w:ascii="Arial" w:cs="Arial" w:eastAsia="Arial" w:hAnsi="Arial"/>
          <w:color w:val="22303C"/>
          <w:sz w:val="21"/>
          <w:szCs w:val="21"/>
        </w:rPr>
        <w:t xml:space="preserve">When call-back pay differs by who answers the phone</w:t>
      </w:r>
    </w:p>
    <w:p>
      <w:pPr>
        <w:pStyle w:val="ListParagraph"/>
        <w:numPr>
          <w:ilvl w:val="0"/>
          <w:numId w:val="2"/>
        </w:numPr>
        <w:spacing w:after="80" w:line="288"/>
      </w:pPr>
      <w:r>
        <w:rPr>
          <w:rFonts w:ascii="Arial" w:cs="Arial" w:eastAsia="Arial" w:hAnsi="Arial"/>
          <w:color w:val="22303C"/>
          <w:sz w:val="21"/>
          <w:szCs w:val="21"/>
        </w:rPr>
        <w:t xml:space="preserve">Before storm season tests the informal system</w:t>
      </w:r>
    </w:p>
    <w:p>
      <w:pPr>
        <w:pStyle w:val="ListParagraph"/>
        <w:numPr>
          <w:ilvl w:val="0"/>
          <w:numId w:val="2"/>
        </w:numPr>
        <w:spacing w:after="80" w:line="288"/>
      </w:pPr>
      <w:r>
        <w:rPr>
          <w:rFonts w:ascii="Arial" w:cs="Arial" w:eastAsia="Arial" w:hAnsi="Arial"/>
          <w:color w:val="22303C"/>
          <w:sz w:val="21"/>
          <w:szCs w:val="21"/>
        </w:rPr>
        <w:t xml:space="preserve">When crews complain the same people always get called</w:t>
      </w:r>
    </w:p>
    <w:p>
      <w:pPr>
        <w:pStyle w:val="ListParagraph"/>
        <w:numPr>
          <w:ilvl w:val="0"/>
          <w:numId w:val="2"/>
        </w:numPr>
        <w:spacing w:after="80" w:line="288"/>
      </w:pPr>
      <w:r>
        <w:rPr>
          <w:rFonts w:ascii="Arial" w:cs="Arial" w:eastAsia="Arial" w:hAnsi="Arial"/>
          <w:color w:val="22303C"/>
          <w:sz w:val="21"/>
          <w:szCs w:val="21"/>
        </w:rPr>
        <w:t xml:space="preserve">When FLSA questions about on-call time have no written answer</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FLSA claims over unpaid on-call and call-back time</w:t>
      </w:r>
    </w:p>
    <w:p>
      <w:pPr>
        <w:pStyle w:val="ListParagraph"/>
        <w:numPr>
          <w:ilvl w:val="0"/>
          <w:numId w:val="2"/>
        </w:numPr>
        <w:spacing w:after="80" w:line="288"/>
      </w:pPr>
      <w:r>
        <w:rPr>
          <w:rFonts w:ascii="Arial" w:cs="Arial" w:eastAsia="Arial" w:hAnsi="Arial"/>
          <w:color w:val="22303C"/>
          <w:sz w:val="21"/>
          <w:szCs w:val="21"/>
        </w:rPr>
        <w:t xml:space="preserve">Response failures at 2 a.m. because 'someone' was on call</w:t>
      </w:r>
    </w:p>
    <w:p>
      <w:pPr>
        <w:pStyle w:val="ListParagraph"/>
        <w:numPr>
          <w:ilvl w:val="0"/>
          <w:numId w:val="2"/>
        </w:numPr>
        <w:spacing w:after="80" w:line="288"/>
      </w:pPr>
      <w:r>
        <w:rPr>
          <w:rFonts w:ascii="Arial" w:cs="Arial" w:eastAsia="Arial" w:hAnsi="Arial"/>
          <w:color w:val="22303C"/>
          <w:sz w:val="21"/>
          <w:szCs w:val="21"/>
        </w:rPr>
        <w:t xml:space="preserve">Rotation resentment that drives CDL holders to the private sector</w:t>
      </w:r>
    </w:p>
    <w:p>
      <w:pPr>
        <w:pStyle w:val="ListParagraph"/>
        <w:numPr>
          <w:ilvl w:val="0"/>
          <w:numId w:val="2"/>
        </w:numPr>
        <w:spacing w:after="80" w:line="288"/>
      </w:pPr>
      <w:r>
        <w:rPr>
          <w:rFonts w:ascii="Arial" w:cs="Arial" w:eastAsia="Arial" w:hAnsi="Arial"/>
          <w:color w:val="22303C"/>
          <w:sz w:val="21"/>
          <w:szCs w:val="21"/>
        </w:rPr>
        <w:t xml:space="preserve">Fatigued operators running heavy equipment after all-night calls</w:t>
      </w:r>
    </w:p>
    <w:p>
      <w:pPr>
        <w:pStyle w:val="ListParagraph"/>
        <w:numPr>
          <w:ilvl w:val="0"/>
          <w:numId w:val="2"/>
        </w:numPr>
        <w:spacing w:after="80" w:line="288"/>
      </w:pPr>
      <w:r>
        <w:rPr>
          <w:rFonts w:ascii="Arial" w:cs="Arial" w:eastAsia="Arial" w:hAnsi="Arial"/>
          <w:color w:val="22303C"/>
          <w:sz w:val="21"/>
          <w:szCs w:val="21"/>
        </w:rPr>
        <w:t xml:space="preserve">Overtime disputes with no records behind either side</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ON-CALL POLICY TEMPLATE</w:t>
      </w:r>
    </w:p>
    <w:p>
      <w:pPr>
        <w:spacing w:after="160" w:line="288"/>
      </w:pPr>
      <w:r>
        <w:rPr>
          <w:rFonts w:ascii="Arial" w:cs="Arial" w:eastAsia="Arial" w:hAnsi="Arial"/>
          <w:color w:val="4A5A6A"/>
          <w:sz w:val="20"/>
          <w:szCs w:val="20"/>
        </w:rPr>
        <w:t xml:space="preserve">Adapt each section, strike what doesn't apply, and adopt formally. Bracketed choices are decision points for your operation.</w:t>
      </w:r>
    </w:p>
    <w:p>
      <w:pPr>
        <w:keepNext/>
        <w:spacing w:after="100" w:before="220"/>
      </w:pPr>
      <w:r>
        <w:rPr>
          <w:rFonts w:ascii="Arial" w:cs="Arial" w:eastAsia="Arial" w:hAnsi="Arial"/>
          <w:b/>
          <w:bCs/>
          <w:color w:val="1B3A52"/>
          <w:sz w:val="22"/>
          <w:szCs w:val="22"/>
        </w:rPr>
        <w:t xml:space="preserve">Section 1 — Eligibility and Assignment</w:t>
      </w:r>
    </w:p>
    <w:p>
      <w:pPr>
        <w:spacing w:after="120" w:line="300"/>
      </w:pPr>
      <w:r>
        <w:rPr>
          <w:rFonts w:ascii="Arial" w:cs="Arial" w:eastAsia="Arial" w:hAnsi="Arial"/>
          <w:color w:val="22303C"/>
          <w:sz w:val="21"/>
          <w:szCs w:val="21"/>
        </w:rPr>
        <w:t xml:space="preserve">On-call duty applies to [list positions: water/wastewater operators, street crew, utility technicians]. Employees must hold required licenses/certifications for the systems they cover, maintain reliable transportation and phone contact, and reside or station within a response-feasible distance of [X minutes] to designated facilities. New employees enter rotation after [90 days / completion of training checklist].</w:t>
      </w:r>
    </w:p>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Section 2 — Rotation</w:t>
      </w:r>
    </w:p>
    <w:p>
      <w:pPr>
        <w:spacing w:after="120" w:line="300"/>
      </w:pPr>
      <w:r>
        <w:rPr>
          <w:rFonts w:ascii="Arial" w:cs="Arial" w:eastAsia="Arial" w:hAnsi="Arial"/>
          <w:color w:val="22303C"/>
          <w:sz w:val="21"/>
          <w:szCs w:val="21"/>
        </w:rPr>
        <w:t xml:space="preserve">On-call rotates [weekly] among qualified staff, published [quarterly] in advance by the [Director]. Swaps are permitted with supervisor approval, recorded on the schedule, and transfer full responsibility. No employee may hold consecutive rotations except during declared emergencies or documented staffing shortages. Holiday rotations are equalized across the year.</w:t>
      </w:r>
    </w:p>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Section 3 — Response Standards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808"/>
        <w:gridCol w:w="6272"/>
      </w:tblGrid>
      <w:tr>
        <w:trPr>
          <w:tblHeader/>
        </w:trPr>
        <w:tc>
          <w:tcPr>
            <w:tcW w:type="dxa" w:w="3808"/>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Standard</w:t>
            </w:r>
          </w:p>
        </w:tc>
        <w:tc>
          <w:tcPr>
            <w:tcW w:type="dxa" w:w="627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Requirement (edit)</w:t>
            </w:r>
          </w:p>
        </w:tc>
      </w:tr>
      <w:tr>
        <w:tc>
          <w:tcPr>
            <w:tcW w:type="dxa" w:w="38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Phone acknowledgment</w:t>
            </w:r>
          </w:p>
        </w:tc>
        <w:tc>
          <w:tcPr>
            <w:tcW w:type="dxa" w:w="627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Within [15] minutes of dispatch/callout</w:t>
            </w:r>
          </w:p>
        </w:tc>
      </w:tr>
      <w:tr>
        <w:tc>
          <w:tcPr>
            <w:tcW w:type="dxa" w:w="38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On-site response</w:t>
            </w:r>
          </w:p>
        </w:tc>
        <w:tc>
          <w:tcPr>
            <w:tcW w:type="dxa" w:w="627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Within [45-60] minutes for emergencies</w:t>
            </w:r>
          </w:p>
        </w:tc>
      </w:tr>
      <w:tr>
        <w:tc>
          <w:tcPr>
            <w:tcW w:type="dxa" w:w="38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Fitness to respond</w:t>
            </w:r>
          </w:p>
        </w:tc>
        <w:tc>
          <w:tcPr>
            <w:tcW w:type="dxa" w:w="627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No alcohol/impairing substances while on call; report inability immediately</w:t>
            </w:r>
          </w:p>
        </w:tc>
      </w:tr>
      <w:tr>
        <w:tc>
          <w:tcPr>
            <w:tcW w:type="dxa" w:w="38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Escalation</w:t>
            </w:r>
          </w:p>
        </w:tc>
        <w:tc>
          <w:tcPr>
            <w:tcW w:type="dxa" w:w="627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If unreachable in [15] min, dispatch calls [backup, then supervisor]</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Section 4 — Compensation (verify against FLSA and your pay plan)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360"/>
        <w:gridCol w:w="6720"/>
      </w:tblGrid>
      <w:tr>
        <w:trPr>
          <w:tblHeader/>
        </w:trPr>
        <w:tc>
          <w:tcPr>
            <w:tcW w:type="dxa" w:w="336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Element</w:t>
            </w:r>
          </w:p>
        </w:tc>
        <w:tc>
          <w:tcPr>
            <w:tcW w:type="dxa" w:w="672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Provision (edit)</w:t>
            </w:r>
          </w:p>
        </w:tc>
      </w:tr>
      <w:tr>
        <w:tc>
          <w:tcPr>
            <w:tcW w:type="dxa" w:w="33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On-call stipend</w:t>
            </w:r>
          </w:p>
        </w:tc>
        <w:tc>
          <w:tcPr>
            <w:tcW w:type="dxa" w:w="67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[$X per day / $X per week] for carrying the duty phone (restricted-freedom analysis documented)</w:t>
            </w:r>
          </w:p>
        </w:tc>
      </w:tr>
      <w:tr>
        <w:tc>
          <w:tcPr>
            <w:tcW w:type="dxa" w:w="33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Call-back pay</w:t>
            </w:r>
          </w:p>
        </w:tc>
        <w:tc>
          <w:tcPr>
            <w:tcW w:type="dxa" w:w="67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Minimum [2] hours at applicable rate per call-back; actual hours if longer</w:t>
            </w:r>
          </w:p>
        </w:tc>
      </w:tr>
      <w:tr>
        <w:tc>
          <w:tcPr>
            <w:tcW w:type="dxa" w:w="33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Multiple calls</w:t>
            </w:r>
          </w:p>
        </w:tc>
        <w:tc>
          <w:tcPr>
            <w:tcW w:type="dxa" w:w="67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Calls within the same [2-hour] window treated as one call-back; new window = new minimum</w:t>
            </w:r>
          </w:p>
        </w:tc>
      </w:tr>
      <w:tr>
        <w:tc>
          <w:tcPr>
            <w:tcW w:type="dxa" w:w="33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Remote resolution</w:t>
            </w:r>
          </w:p>
        </w:tc>
        <w:tc>
          <w:tcPr>
            <w:tcW w:type="dxa" w:w="67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Phone-only fixes paid at actual time in [15-min] increments, minimum [30 min]</w:t>
            </w:r>
          </w:p>
        </w:tc>
      </w:tr>
      <w:tr>
        <w:tc>
          <w:tcPr>
            <w:tcW w:type="dxa" w:w="336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Hours counting</w:t>
            </w:r>
          </w:p>
        </w:tc>
        <w:tc>
          <w:tcPr>
            <w:tcW w:type="dxa" w:w="67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All response time counts toward overtime; travel from home per policy [and FLSA]</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Section 5 — Equipment and Vehicles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Adopted</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Provision</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Duty phone/radio issued and answered while on call</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Take-home vehicle rules: response use only [personal-use tax treatment addressed]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Required tools/PPE stocked before rotation starts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Vehicle/equipment condition reported at rotation handoff</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Section 6 — Safety and Fatigue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Adopted</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Provision</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Rest standard: employees working [X] night hours are released from next-day duty until [X hours] rest, at supervisor direction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No solo confined-space, trench, or high-risk work on emergency calls — second responder required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After-action fatigue check before operating heavy equipment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may order stand-down; service pressure never overrides safety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Section 7 — Documentation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584"/>
        <w:gridCol w:w="3808"/>
        <w:gridCol w:w="2688"/>
      </w:tblGrid>
      <w:tr>
        <w:trPr>
          <w:tblHeader/>
        </w:trPr>
        <w:tc>
          <w:tcPr>
            <w:tcW w:type="dxa" w:w="3584"/>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Record</w:t>
            </w:r>
          </w:p>
        </w:tc>
        <w:tc>
          <w:tcPr>
            <w:tcW w:type="dxa" w:w="3808"/>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Captured by / where</w:t>
            </w:r>
          </w:p>
        </w:tc>
        <w:tc>
          <w:tcPr>
            <w:tcW w:type="dxa" w:w="2688"/>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Retention</w:t>
            </w:r>
          </w:p>
        </w:tc>
      </w:tr>
      <w:tr>
        <w:tc>
          <w:tcPr>
            <w:tcW w:type="dxa" w:w="358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Callout log: time called, acknowledged, on-site, cleared</w:t>
            </w:r>
          </w:p>
        </w:tc>
        <w:tc>
          <w:tcPr>
            <w:tcW w:type="dxa" w:w="38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8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58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Work performed and materials used</w:t>
            </w:r>
          </w:p>
        </w:tc>
        <w:tc>
          <w:tcPr>
            <w:tcW w:type="dxa" w:w="38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8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58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Time entries matching the callout log</w:t>
            </w:r>
          </w:p>
        </w:tc>
        <w:tc>
          <w:tcPr>
            <w:tcW w:type="dxa" w:w="38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8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58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Swaps and schedule changes</w:t>
            </w:r>
          </w:p>
        </w:tc>
        <w:tc>
          <w:tcPr>
            <w:tcW w:type="dxa" w:w="38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8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Adoption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Director</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City manager / administrator</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Effective date recorded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On-call restrictions are so tight the 'stipend' time may be compensable hours (FLSA restricted-freedom analysis needed).</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Call-back minimums are being paid differently across departments.</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An operator ran a backhoe on two hours of sleep last storm.</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rotation exists nowhere in writing.</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Response times are promised to council that staffing cannot deliver.</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Confusing 'on call' with 'waiting to be engaged' — heavily restricted on-call time can be compensable in full.</w:t>
      </w:r>
    </w:p>
    <w:p>
      <w:pPr>
        <w:pStyle w:val="ListParagraph"/>
        <w:numPr>
          <w:ilvl w:val="0"/>
          <w:numId w:val="3"/>
        </w:numPr>
        <w:spacing w:after="90" w:line="288"/>
      </w:pPr>
      <w:r>
        <w:rPr>
          <w:rFonts w:ascii="Arial" w:cs="Arial" w:eastAsia="Arial" w:hAnsi="Arial"/>
          <w:color w:val="22303C"/>
          <w:sz w:val="21"/>
          <w:szCs w:val="21"/>
        </w:rPr>
        <w:t xml:space="preserve">Paying call-backs from arrival instead of per the written minimum rules.</w:t>
      </w:r>
    </w:p>
    <w:p>
      <w:pPr>
        <w:pStyle w:val="ListParagraph"/>
        <w:numPr>
          <w:ilvl w:val="0"/>
          <w:numId w:val="3"/>
        </w:numPr>
        <w:spacing w:after="90" w:line="288"/>
      </w:pPr>
      <w:r>
        <w:rPr>
          <w:rFonts w:ascii="Arial" w:cs="Arial" w:eastAsia="Arial" w:hAnsi="Arial"/>
          <w:color w:val="22303C"/>
          <w:sz w:val="21"/>
          <w:szCs w:val="21"/>
        </w:rPr>
        <w:t xml:space="preserve">Letting the same two employees carry every holiday.</w:t>
      </w:r>
    </w:p>
    <w:p>
      <w:pPr>
        <w:pStyle w:val="ListParagraph"/>
        <w:numPr>
          <w:ilvl w:val="0"/>
          <w:numId w:val="3"/>
        </w:numPr>
        <w:spacing w:after="90" w:line="288"/>
      </w:pPr>
      <w:r>
        <w:rPr>
          <w:rFonts w:ascii="Arial" w:cs="Arial" w:eastAsia="Arial" w:hAnsi="Arial"/>
          <w:color w:val="22303C"/>
          <w:sz w:val="21"/>
          <w:szCs w:val="21"/>
        </w:rPr>
        <w:t xml:space="preserve">Skipping the fatigue provisions until an accident writes them for you.</w:t>
      </w:r>
    </w:p>
    <w:p>
      <w:pPr>
        <w:pStyle w:val="ListParagraph"/>
        <w:numPr>
          <w:ilvl w:val="0"/>
          <w:numId w:val="3"/>
        </w:numPr>
        <w:spacing w:after="90" w:line="288"/>
      </w:pPr>
      <w:r>
        <w:rPr>
          <w:rFonts w:ascii="Arial" w:cs="Arial" w:eastAsia="Arial" w:hAnsi="Arial"/>
          <w:color w:val="22303C"/>
          <w:sz w:val="21"/>
          <w:szCs w:val="21"/>
        </w:rPr>
        <w:t xml:space="preserve">Promising 30-minute response with a rotation that lives 45 minutes out.</w:t>
      </w:r>
    </w:p>
    <w:p>
      <w:pPr>
        <w:pStyle w:val="ListParagraph"/>
        <w:numPr>
          <w:ilvl w:val="0"/>
          <w:numId w:val="3"/>
        </w:numPr>
        <w:spacing w:after="90" w:line="288"/>
      </w:pPr>
      <w:r>
        <w:rPr>
          <w:rFonts w:ascii="Arial" w:cs="Arial" w:eastAsia="Arial" w:hAnsi="Arial"/>
          <w:color w:val="22303C"/>
          <w:sz w:val="21"/>
          <w:szCs w:val="21"/>
        </w:rPr>
        <w:t xml:space="preserve">Keeping no callout log, then losing every pay dispute by default.</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Fill the bracketed decisions with your numbers, run the compensation section past FLSA review, adopt formally, and publish the first quarter's rotation. Audit callout logs against payroll after the first storm — that's where the system proves itself or doesn't.</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Public-sector HR decisions have to survive more than internal disagreement. They have to survive records requests, council questions, budget scrutiny, and public trust.</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Public Works On-Call Policy | Version 2026.1 | 210.446.8730 | thomas@faulknerhrsolutions.info | faulknerhrsolutions.info/resources/public-works-on-call-policy-template/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MUNICIPAL HR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Works On-Call Policy Template</dc:title>
  <dc:creator>Faulkner HR Solutions</dc:creator>
  <dc:description>A complete on-call policy for public works: rotation, response times, pay, call-back, equipment, fatigue, and documentation.</dc:description>
  <cp:lastModifiedBy>Un-named</cp:lastModifiedBy>
  <cp:revision>1</cp:revision>
  <dcterms:created xsi:type="dcterms:W3CDTF">2026-07-04T08:16:06.697Z</dcterms:created>
  <dcterms:modified xsi:type="dcterms:W3CDTF">2026-07-04T08:16:06.697Z</dcterms:modified>
</cp:coreProperties>
</file>

<file path=docProps/custom.xml><?xml version="1.0" encoding="utf-8"?>
<Properties xmlns="http://schemas.openxmlformats.org/officeDocument/2006/custom-properties" xmlns:vt="http://schemas.openxmlformats.org/officeDocument/2006/docPropsVTypes"/>
</file>