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DECISION RECORD  |  JURISDICTION: MUNICIPAL / PUBLIC SECTOR  |  VERSION 2026.1</w:t>
      </w:r>
    </w:p>
    <w:p>
      <w:pPr>
        <w:spacing w:after="120"/>
      </w:pPr>
      <w:r>
        <w:rPr>
          <w:rFonts w:ascii="Arial" w:cs="Arial" w:eastAsia="Arial" w:hAnsi="Arial"/>
          <w:b/>
          <w:bCs/>
          <w:color w:val="1B3A52"/>
          <w:sz w:val="44"/>
          <w:szCs w:val="44"/>
        </w:rPr>
        <w:t xml:space="preserve">Public Sector Employee Relations Decision Record</w:t>
      </w:r>
    </w:p>
    <w:p>
      <w:pPr>
        <w:spacing w:after="200" w:line="300"/>
      </w:pPr>
      <w:r>
        <w:rPr>
          <w:rFonts w:ascii="Arial" w:cs="Arial" w:eastAsia="Arial" w:hAnsi="Arial"/>
          <w:i/>
          <w:iCs/>
          <w:color w:val="4A5A6A"/>
          <w:sz w:val="22"/>
          <w:szCs w:val="22"/>
        </w:rPr>
        <w:t xml:space="preserve">Document public-sector discipline and complaint decisions to survive records requests, appeals, council questions, and public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record for every significant public-sector employee relations decision — establishing authority, consistency, due process, and public-scrutiny readiness before the action is taken.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disciplining, demoting, or terminating any public employee</w:t>
      </w:r>
    </w:p>
    <w:p>
      <w:pPr>
        <w:pStyle w:val="ListParagraph"/>
        <w:numPr>
          <w:ilvl w:val="0"/>
          <w:numId w:val="2"/>
        </w:numPr>
        <w:spacing w:after="80" w:line="288"/>
      </w:pPr>
      <w:r>
        <w:rPr>
          <w:rFonts w:ascii="Arial" w:cs="Arial" w:eastAsia="Arial" w:hAnsi="Arial"/>
          <w:color w:val="22303C"/>
          <w:sz w:val="21"/>
          <w:szCs w:val="21"/>
        </w:rPr>
        <w:t xml:space="preserve">When resolving complaints involving public employees</w:t>
      </w:r>
    </w:p>
    <w:p>
      <w:pPr>
        <w:pStyle w:val="ListParagraph"/>
        <w:numPr>
          <w:ilvl w:val="0"/>
          <w:numId w:val="2"/>
        </w:numPr>
        <w:spacing w:after="80" w:line="288"/>
      </w:pPr>
      <w:r>
        <w:rPr>
          <w:rFonts w:ascii="Arial" w:cs="Arial" w:eastAsia="Arial" w:hAnsi="Arial"/>
          <w:color w:val="22303C"/>
          <w:sz w:val="21"/>
          <w:szCs w:val="21"/>
        </w:rPr>
        <w:t xml:space="preserve">When civil service, contract, or policy creates hearing/appeal rights</w:t>
      </w:r>
    </w:p>
    <w:p>
      <w:pPr>
        <w:pStyle w:val="ListParagraph"/>
        <w:numPr>
          <w:ilvl w:val="0"/>
          <w:numId w:val="2"/>
        </w:numPr>
        <w:spacing w:after="80" w:line="288"/>
      </w:pPr>
      <w:r>
        <w:rPr>
          <w:rFonts w:ascii="Arial" w:cs="Arial" w:eastAsia="Arial" w:hAnsi="Arial"/>
          <w:color w:val="22303C"/>
          <w:sz w:val="21"/>
          <w:szCs w:val="21"/>
        </w:rPr>
        <w:t xml:space="preserve">When the decision will plausibly reach the council, the press, or a records request</w:t>
      </w:r>
    </w:p>
    <w:p>
      <w:pPr>
        <w:pStyle w:val="ListParagraph"/>
        <w:numPr>
          <w:ilvl w:val="0"/>
          <w:numId w:val="2"/>
        </w:numPr>
        <w:spacing w:after="80" w:line="288"/>
      </w:pPr>
      <w:r>
        <w:rPr>
          <w:rFonts w:ascii="Arial" w:cs="Arial" w:eastAsia="Arial" w:hAnsi="Arial"/>
          <w:color w:val="22303C"/>
          <w:sz w:val="21"/>
          <w:szCs w:val="21"/>
        </w:rPr>
        <w:t xml:space="preserve">When 'how did we handle the last one?' has no written answer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Due process violations that reverse otherwise justified discipline</w:t>
      </w:r>
    </w:p>
    <w:p>
      <w:pPr>
        <w:pStyle w:val="ListParagraph"/>
        <w:numPr>
          <w:ilvl w:val="0"/>
          <w:numId w:val="2"/>
        </w:numPr>
        <w:spacing w:after="80" w:line="288"/>
      </w:pPr>
      <w:r>
        <w:rPr>
          <w:rFonts w:ascii="Arial" w:cs="Arial" w:eastAsia="Arial" w:hAnsi="Arial"/>
          <w:color w:val="22303C"/>
          <w:sz w:val="21"/>
          <w:szCs w:val="21"/>
        </w:rPr>
        <w:t xml:space="preserve">Decisions made by someone without charter or policy authority</w:t>
      </w:r>
    </w:p>
    <w:p>
      <w:pPr>
        <w:pStyle w:val="ListParagraph"/>
        <w:numPr>
          <w:ilvl w:val="0"/>
          <w:numId w:val="2"/>
        </w:numPr>
        <w:spacing w:after="80" w:line="288"/>
      </w:pPr>
      <w:r>
        <w:rPr>
          <w:rFonts w:ascii="Arial" w:cs="Arial" w:eastAsia="Arial" w:hAnsi="Arial"/>
          <w:color w:val="22303C"/>
          <w:sz w:val="21"/>
          <w:szCs w:val="21"/>
        </w:rPr>
        <w:t xml:space="preserve">Inconsistency across departments that becomes Exhibit A on appeal</w:t>
      </w:r>
    </w:p>
    <w:p>
      <w:pPr>
        <w:pStyle w:val="ListParagraph"/>
        <w:numPr>
          <w:ilvl w:val="0"/>
          <w:numId w:val="2"/>
        </w:numPr>
        <w:spacing w:after="80" w:line="288"/>
      </w:pPr>
      <w:r>
        <w:rPr>
          <w:rFonts w:ascii="Arial" w:cs="Arial" w:eastAsia="Arial" w:hAnsi="Arial"/>
          <w:color w:val="22303C"/>
          <w:sz w:val="21"/>
          <w:szCs w:val="21"/>
        </w:rPr>
        <w:t xml:space="preserve">Records requests exposing a decision with no documented reasoning</w:t>
      </w:r>
    </w:p>
    <w:p>
      <w:pPr>
        <w:pStyle w:val="ListParagraph"/>
        <w:numPr>
          <w:ilvl w:val="0"/>
          <w:numId w:val="2"/>
        </w:numPr>
        <w:spacing w:after="80" w:line="288"/>
      </w:pPr>
      <w:r>
        <w:rPr>
          <w:rFonts w:ascii="Arial" w:cs="Arial" w:eastAsia="Arial" w:hAnsi="Arial"/>
          <w:color w:val="22303C"/>
          <w:sz w:val="21"/>
          <w:szCs w:val="21"/>
        </w:rPr>
        <w:t xml:space="preserve">Council ambush — learning of the action from a constituent</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EMPLOYEE RELATIONS DECISION RECORD</w:t>
      </w:r>
    </w:p>
    <w:p>
      <w:pPr>
        <w:spacing w:after="160" w:line="288"/>
      </w:pPr>
      <w:r>
        <w:rPr>
          <w:rFonts w:ascii="Arial" w:cs="Arial" w:eastAsia="Arial" w:hAnsi="Arial"/>
          <w:color w:val="4A5A6A"/>
          <w:sz w:val="20"/>
          <w:szCs w:val="20"/>
        </w:rPr>
        <w:t xml:space="preserve">Public-sector decisions answer to more audiences than private ones: the employee, an appeals board, the council, the AG's office, and the public record. This record briefs them all in advance.</w:t>
      </w:r>
    </w:p>
    <w:p>
      <w:pPr>
        <w:keepNext/>
        <w:spacing w:after="100" w:before="220"/>
      </w:pPr>
      <w:r>
        <w:rPr>
          <w:rFonts w:ascii="Arial" w:cs="Arial" w:eastAsia="Arial" w:hAnsi="Arial"/>
          <w:b/>
          <w:bCs/>
          <w:color w:val="1B3A52"/>
          <w:sz w:val="22"/>
          <w:szCs w:val="22"/>
        </w:rPr>
        <w:t xml:space="preserve">Part 1 — Matter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position, department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Matter type (discipline / complaint resolution / grievance / termination)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Triggering incident or complaint, with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Policy, rule, or standard involved (cite section)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Civil service / CBA / contract coverage? (changes everything below)</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Authority Check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Confirmed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Authority element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Source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has authority for THIS action (charter, ordinance, policy — cite it)</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That person is the one deciding — not a council member, not the loudest voice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Any required consultations completed (legal, civil service director, manager)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Council's role, if any, correctly limited to what charter provides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Due Process (where rights exist)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Due process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Property interest assessed (civil service status, contract, policy promises)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Written notice of charges/allegations provided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given a real opportunity to respond BEFORE decision (pre-disciplinary/Loudermill-type hearing where required)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Employee's response documented and actually considered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Appeal/grievance rights stated in the decision letter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Consistency Review</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002"/>
        <w:gridCol w:w="1715"/>
        <w:gridCol w:w="2144"/>
        <w:gridCol w:w="3219"/>
      </w:tblGrid>
      <w:tr>
        <w:trPr>
          <w:tblHeader/>
        </w:trPr>
        <w:tc>
          <w:tcPr>
            <w:tcW w:type="dxa" w:w="300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Prior comparable case</w:t>
            </w:r>
          </w:p>
        </w:tc>
        <w:tc>
          <w:tcPr>
            <w:tcW w:type="dxa" w:w="171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Department</w:t>
            </w:r>
          </w:p>
        </w:tc>
        <w:tc>
          <w:tcPr>
            <w:tcW w:type="dxa" w:w="214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Outcome</w:t>
            </w:r>
          </w:p>
        </w:tc>
        <w:tc>
          <w:tcPr>
            <w:tcW w:type="dxa" w:w="3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Distinction, if outcomes differ</w:t>
            </w:r>
          </w:p>
        </w:tc>
      </w:tr>
      <w:tr>
        <w:tc>
          <w:tcPr>
            <w:tcW w:type="dxa" w:w="300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0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0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00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71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4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Public Scrutiny Readiness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Ready</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Scrutiny test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This record survives a Public Information Act request as written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The reasoning would sound fair read aloud at a council meeting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Manager/administrator briefed before action (no surprises upward)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Media-attention plan if the matter is newsworthy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Confidential content (medical, protected) separated per records rules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Decision and File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and effective date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Reasoning in two or three sentences (behavior, policy, evidence — not conclusions)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Documentation file location (investigation, notices, response, this record)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Appeal filed? Outcome?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Decision authority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HR review</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Legal review (where required)</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A council member is pushing for a specific outcome on a specific employee.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has civil service or contract rights and no pre-decision hearing is planned.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last comparable case ended differently and nobody can articulate why.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letter is being drafted before the employee's response was heard.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file contains opinions about the employee rather than documented facts.</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Someone suggested handling it quietly 'to keep it out of the papers.'</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Skipping the pre-decision hearing where a property interest exists — the reversal is automatic and expensive.</w:t>
      </w:r>
    </w:p>
    <w:p>
      <w:pPr>
        <w:pStyle w:val="ListParagraph"/>
        <w:numPr>
          <w:ilvl w:val="0"/>
          <w:numId w:val="3"/>
        </w:numPr>
        <w:spacing w:after="90" w:line="288"/>
      </w:pPr>
      <w:r>
        <w:rPr>
          <w:rFonts w:ascii="Arial" w:cs="Arial" w:eastAsia="Arial" w:hAnsi="Arial"/>
          <w:color w:val="22303C"/>
          <w:sz w:val="21"/>
          <w:szCs w:val="21"/>
        </w:rPr>
        <w:t xml:space="preserve">Letting political pressure pick the outcome and papering it afterward.</w:t>
      </w:r>
    </w:p>
    <w:p>
      <w:pPr>
        <w:pStyle w:val="ListParagraph"/>
        <w:numPr>
          <w:ilvl w:val="0"/>
          <w:numId w:val="3"/>
        </w:numPr>
        <w:spacing w:after="90" w:line="288"/>
      </w:pPr>
      <w:r>
        <w:rPr>
          <w:rFonts w:ascii="Arial" w:cs="Arial" w:eastAsia="Arial" w:hAnsi="Arial"/>
          <w:color w:val="22303C"/>
          <w:sz w:val="21"/>
          <w:szCs w:val="21"/>
        </w:rPr>
        <w:t xml:space="preserve">Treating each department's discipline as its own universe until an appeal compares them.</w:t>
      </w:r>
    </w:p>
    <w:p>
      <w:pPr>
        <w:pStyle w:val="ListParagraph"/>
        <w:numPr>
          <w:ilvl w:val="0"/>
          <w:numId w:val="3"/>
        </w:numPr>
        <w:spacing w:after="90" w:line="288"/>
      </w:pPr>
      <w:r>
        <w:rPr>
          <w:rFonts w:ascii="Arial" w:cs="Arial" w:eastAsia="Arial" w:hAnsi="Arial"/>
          <w:color w:val="22303C"/>
          <w:sz w:val="21"/>
          <w:szCs w:val="21"/>
        </w:rPr>
        <w:t xml:space="preserve">Writing decision letters full of conclusions ('unprofessional') instead of facts.</w:t>
      </w:r>
    </w:p>
    <w:p>
      <w:pPr>
        <w:pStyle w:val="ListParagraph"/>
        <w:numPr>
          <w:ilvl w:val="0"/>
          <w:numId w:val="3"/>
        </w:numPr>
        <w:spacing w:after="90" w:line="288"/>
      </w:pPr>
      <w:r>
        <w:rPr>
          <w:rFonts w:ascii="Arial" w:cs="Arial" w:eastAsia="Arial" w:hAnsi="Arial"/>
          <w:color w:val="22303C"/>
          <w:sz w:val="21"/>
          <w:szCs w:val="21"/>
        </w:rPr>
        <w:t xml:space="preserve">Forgetting the file will be read by the employee's attorney, the council, and possibly the public.</w:t>
      </w:r>
    </w:p>
    <w:p>
      <w:pPr>
        <w:pStyle w:val="ListParagraph"/>
        <w:numPr>
          <w:ilvl w:val="0"/>
          <w:numId w:val="3"/>
        </w:numPr>
        <w:spacing w:after="90" w:line="288"/>
      </w:pPr>
      <w:r>
        <w:rPr>
          <w:rFonts w:ascii="Arial" w:cs="Arial" w:eastAsia="Arial" w:hAnsi="Arial"/>
          <w:color w:val="22303C"/>
          <w:sz w:val="21"/>
          <w:szCs w:val="21"/>
        </w:rPr>
        <w:t xml:space="preserve">Failing to state appeal rights, which restarts clocks and invalidates timelines.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Issue the decision with appeal rights stated, file this record with the complete documentation set, and calendar any appeal deadlines. If the matter is newsworthy or council-sensitive, brief upward the same day — the decision should never travel faster than the briefing.</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Public-sector HR decisions have to survive more than internal disagreement. They have to survive records requests, council questions, budget scrutiny, and public trust.</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Public Sector ER Decision Record | Version 2026.1 | 210.446.8730 | thomas@faulknerhrsolutions.info | faulknerhrsolutions.info/resources/public-sector-employee-relations-decision-record/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MUNICIPAL 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Employee Relations Decision Record</dc:title>
  <dc:creator>Faulkner HR Solutions</dc:creator>
  <dc:description>Document public-sector discipline and complaint decisions to survive records requests, appeals, council questions, and public scrutiny.</dc:description>
  <cp:lastModifiedBy>Un-named</cp:lastModifiedBy>
  <cp:revision>1</cp:revision>
  <dcterms:created xsi:type="dcterms:W3CDTF">2026-07-04T08:16:06.578Z</dcterms:created>
  <dcterms:modified xsi:type="dcterms:W3CDTF">2026-07-04T08:16:06.578Z</dcterms:modified>
</cp:coreProperties>
</file>

<file path=docProps/custom.xml><?xml version="1.0" encoding="utf-8"?>
<Properties xmlns="http://schemas.openxmlformats.org/officeDocument/2006/custom-properties" xmlns:vt="http://schemas.openxmlformats.org/officeDocument/2006/docPropsVTypes"/>
</file>