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ASSESSMENT MAP  |  JURISDICTION: NONPROFIT  |  VERSION 2026.1</w:t>
      </w:r>
    </w:p>
    <w:p>
      <w:pPr>
        <w:spacing w:after="120"/>
      </w:pPr>
      <w:r>
        <w:rPr>
          <w:rFonts w:ascii="Arial" w:cs="Arial" w:eastAsia="Arial" w:hAnsi="Arial"/>
          <w:b/>
          <w:bCs/>
          <w:color w:val="1B3A52"/>
          <w:sz w:val="44"/>
          <w:szCs w:val="44"/>
        </w:rPr>
        <w:t xml:space="preserve">Nonprofit HR Infrastructure Maturity Map</w:t>
      </w:r>
    </w:p>
    <w:p>
      <w:pPr>
        <w:spacing w:after="200" w:line="300"/>
      </w:pPr>
      <w:r>
        <w:rPr>
          <w:rFonts w:ascii="Arial" w:cs="Arial" w:eastAsia="Arial" w:hAnsi="Arial"/>
          <w:i/>
          <w:iCs/>
          <w:color w:val="4A5A6A"/>
          <w:sz w:val="22"/>
          <w:szCs w:val="22"/>
        </w:rPr>
        <w:t xml:space="preserve">Score your nonprofit's people infrastructure across eight domains — from governance to burnout — and see what to build next.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map to assess where your nonprofit's HR infrastructure actually stands across eight domains, so the board and ED invest in the next maturity level instead of firefighting the same people problems annually.</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At strategic planning or board retreat season</w:t>
      </w:r>
    </w:p>
    <w:p>
      <w:pPr>
        <w:pStyle w:val="ListParagraph"/>
        <w:numPr>
          <w:ilvl w:val="0"/>
          <w:numId w:val="2"/>
        </w:numPr>
        <w:spacing w:after="80" w:line="288"/>
      </w:pPr>
      <w:r>
        <w:rPr>
          <w:rFonts w:ascii="Arial" w:cs="Arial" w:eastAsia="Arial" w:hAnsi="Arial"/>
          <w:color w:val="22303C"/>
          <w:sz w:val="21"/>
          <w:szCs w:val="21"/>
        </w:rPr>
        <w:t xml:space="preserve">When the same people problem has recurred three times</w:t>
      </w:r>
    </w:p>
    <w:p>
      <w:pPr>
        <w:pStyle w:val="ListParagraph"/>
        <w:numPr>
          <w:ilvl w:val="0"/>
          <w:numId w:val="2"/>
        </w:numPr>
        <w:spacing w:after="80" w:line="288"/>
      </w:pPr>
      <w:r>
        <w:rPr>
          <w:rFonts w:ascii="Arial" w:cs="Arial" w:eastAsia="Arial" w:hAnsi="Arial"/>
          <w:color w:val="22303C"/>
          <w:sz w:val="21"/>
          <w:szCs w:val="21"/>
        </w:rPr>
        <w:t xml:space="preserve">Before a growth spurt, major grant, or first big hire wave</w:t>
      </w:r>
    </w:p>
    <w:p>
      <w:pPr>
        <w:pStyle w:val="ListParagraph"/>
        <w:numPr>
          <w:ilvl w:val="0"/>
          <w:numId w:val="2"/>
        </w:numPr>
        <w:spacing w:after="80" w:line="288"/>
      </w:pPr>
      <w:r>
        <w:rPr>
          <w:rFonts w:ascii="Arial" w:cs="Arial" w:eastAsia="Arial" w:hAnsi="Arial"/>
          <w:color w:val="22303C"/>
          <w:sz w:val="21"/>
          <w:szCs w:val="21"/>
        </w:rPr>
        <w:t xml:space="preserve">When a founder or long-time ED is transitioning</w:t>
      </w:r>
    </w:p>
    <w:p>
      <w:pPr>
        <w:pStyle w:val="ListParagraph"/>
        <w:numPr>
          <w:ilvl w:val="0"/>
          <w:numId w:val="2"/>
        </w:numPr>
        <w:spacing w:after="80" w:line="288"/>
      </w:pPr>
      <w:r>
        <w:rPr>
          <w:rFonts w:ascii="Arial" w:cs="Arial" w:eastAsia="Arial" w:hAnsi="Arial"/>
          <w:color w:val="22303C"/>
          <w:sz w:val="21"/>
          <w:szCs w:val="21"/>
        </w:rPr>
        <w:t xml:space="preserve">When funders start asking about organizational capacity</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HR built entirely inside one heroic person's head</w:t>
      </w:r>
    </w:p>
    <w:p>
      <w:pPr>
        <w:pStyle w:val="ListParagraph"/>
        <w:numPr>
          <w:ilvl w:val="0"/>
          <w:numId w:val="2"/>
        </w:numPr>
        <w:spacing w:after="80" w:line="288"/>
      </w:pPr>
      <w:r>
        <w:rPr>
          <w:rFonts w:ascii="Arial" w:cs="Arial" w:eastAsia="Arial" w:hAnsi="Arial"/>
          <w:color w:val="22303C"/>
          <w:sz w:val="21"/>
          <w:szCs w:val="21"/>
        </w:rPr>
        <w:t xml:space="preserve">Governance confusion between board and ED surfacing as staff casualties</w:t>
      </w:r>
    </w:p>
    <w:p>
      <w:pPr>
        <w:pStyle w:val="ListParagraph"/>
        <w:numPr>
          <w:ilvl w:val="0"/>
          <w:numId w:val="2"/>
        </w:numPr>
        <w:spacing w:after="80" w:line="288"/>
      </w:pPr>
      <w:r>
        <w:rPr>
          <w:rFonts w:ascii="Arial" w:cs="Arial" w:eastAsia="Arial" w:hAnsi="Arial"/>
          <w:color w:val="22303C"/>
          <w:sz w:val="21"/>
          <w:szCs w:val="21"/>
        </w:rPr>
        <w:t xml:space="preserve">Grant growth outpacing the systems that must carry it</w:t>
      </w:r>
    </w:p>
    <w:p>
      <w:pPr>
        <w:pStyle w:val="ListParagraph"/>
        <w:numPr>
          <w:ilvl w:val="0"/>
          <w:numId w:val="2"/>
        </w:numPr>
        <w:spacing w:after="80" w:line="288"/>
      </w:pPr>
      <w:r>
        <w:rPr>
          <w:rFonts w:ascii="Arial" w:cs="Arial" w:eastAsia="Arial" w:hAnsi="Arial"/>
          <w:color w:val="22303C"/>
          <w:sz w:val="21"/>
          <w:szCs w:val="21"/>
        </w:rPr>
        <w:t xml:space="preserve">Burnout normalized as devotion until resignation letters arrive</w:t>
      </w:r>
    </w:p>
    <w:p>
      <w:pPr>
        <w:pStyle w:val="ListParagraph"/>
        <w:numPr>
          <w:ilvl w:val="0"/>
          <w:numId w:val="2"/>
        </w:numPr>
        <w:spacing w:after="80" w:line="288"/>
      </w:pPr>
      <w:r>
        <w:rPr>
          <w:rFonts w:ascii="Arial" w:cs="Arial" w:eastAsia="Arial" w:hAnsi="Arial"/>
          <w:color w:val="22303C"/>
          <w:sz w:val="21"/>
          <w:szCs w:val="21"/>
        </w:rPr>
        <w:t xml:space="preserve">Capacity questions from funders answered with silence</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MATURITY MAP</w:t>
      </w:r>
    </w:p>
    <w:p>
      <w:pPr>
        <w:spacing w:after="160" w:line="288"/>
      </w:pPr>
      <w:r>
        <w:rPr>
          <w:rFonts w:ascii="Arial" w:cs="Arial" w:eastAsia="Arial" w:hAnsi="Arial"/>
          <w:color w:val="4A5A6A"/>
          <w:sz w:val="20"/>
          <w:szCs w:val="20"/>
        </w:rPr>
        <w:t xml:space="preserve">Score each domain 1-4: (1) Ad hoc — lives in someone's head; (2) Documented — written but unevenly used; (3) Operating — consistently practiced; (4) Managed — reviewed and improved on a cycle. Be honest; flattery here is self-sabotage.</w:t>
      </w:r>
    </w:p>
    <w:p>
      <w:pPr>
        <w:keepNext/>
        <w:spacing w:after="100" w:before="220"/>
      </w:pPr>
      <w:r>
        <w:rPr>
          <w:rFonts w:ascii="Arial" w:cs="Arial" w:eastAsia="Arial" w:hAnsi="Arial"/>
          <w:b/>
          <w:bCs/>
          <w:color w:val="1B3A52"/>
          <w:sz w:val="22"/>
          <w:szCs w:val="22"/>
        </w:rPr>
        <w:t xml:space="preserve">Domain 1 — Governance and Board Role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Score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Indicator</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Evidence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Board governs (policy, ED oversight, resources); ED manages staff — and both know it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ED evaluation happens annually against written goals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Board committees don't direct staff members individually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 board-ED covenant or authority matrix exists (see Authority Matrix resource)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Domain 2 — Decision Authority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Score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Indicator</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Evidence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Hiring, firing, spending, and program decisions have named owners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Staff know who decides what without asking the ED everything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Founder/long-tenure gravity doesn't override written authority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Decisions survive the deciding person's vacation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Domain 3 — Pay and Classification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Score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Indicator</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Evidence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ranges exist and offers are made within them</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FLSA exemptions tested per role — 'we're a nonprofit' is not an exemption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Stipends, contractors, and 'part-time exempt' arrangements reviewed for legality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Compensation reviewed against sector data on a cycle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Domain 4 — Roles and Structure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Score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Indicator</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Evidence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Current job descriptions exist for filled roles (not aspirational ones)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Nobody's actual job is 'everything nobody else does' — or if it is, it's named and time-boxed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Reporting lines are real: people are managed by their actual manager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Growth plans include structure, not just headcount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Domain 5 — Compliance Basics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Score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Indicator</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Evidence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Payroll, I-9s, postings, and required policies current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vs. contractor vs. volunteer classifications defensible (see Volunteer Classification Guide)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Handbook updated within 3 years and acknowledged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Personnel files structured; medical information separated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Domain 6 — Documentation and Institutional Memory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Score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Indicator</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Evidence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Key processes written down where successors can find them</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Personnel decisions documented at decision time, not reconstructed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Grant-required records (time tracking, allocations) maintained continuously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One person's departure would not erase how anything works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Domain 7 — Workload and Burnout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Score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Indicator</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Evidence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Workload is planned against actual capacity, not mission urgency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PTO is taken, not just accrued — including by the 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'Other duties as assigned' isn't 40% of anyone's job</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Burnout is treated as a system signal, not a personal failing (see Burnout Triage resource)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Domain 8 — Volunteer/Employee Boundary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Score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Indicator</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Evidence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Volunteers are genuinely voluntary — no wage-replacement 'volunteering'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Employees never 'volunteer' extra unpaid hours doing their own job</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Volunteer roles have descriptions, boundaries, and a handbook</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Supervision of volunteers is assigned, not assumed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Scoring Summary and Build Plan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24"/>
        <w:gridCol w:w="1411"/>
        <w:gridCol w:w="3628"/>
        <w:gridCol w:w="2017"/>
      </w:tblGrid>
      <w:tr>
        <w:trPr>
          <w:tblHeader/>
        </w:trPr>
        <w:tc>
          <w:tcPr>
            <w:tcW w:type="dxa" w:w="302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Domain</w:t>
            </w:r>
          </w:p>
        </w:tc>
        <w:tc>
          <w:tcPr>
            <w:tcW w:type="dxa" w:w="141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Score (1-4)</w:t>
            </w:r>
          </w:p>
        </w:tc>
        <w:tc>
          <w:tcPr>
            <w:tcW w:type="dxa" w:w="362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Next maturity step</w:t>
            </w:r>
          </w:p>
        </w:tc>
        <w:tc>
          <w:tcPr>
            <w:tcW w:type="dxa" w:w="201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Owner / date</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1. Governance</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6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2. Authority</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6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3. Pay &amp; classification</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6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4. Roles &amp; structure</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6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5. Compliance</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6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6. Documentation</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6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7. Workload &amp; burnout</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6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8. Volunteer boundary</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6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Assessed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Reviewed with (ED / board chair)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Any domain scored 1 while the organization is adding staff or grants.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board is interviewing staff about the ED without a process.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Payroll exemptions have never been tested against the duties test.</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ED hasn't taken a full week off in over a year.</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single departure would take payroll, grants reporting, and HR knowledge simultaneously.</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Volunteers are doing work that laid-off employees used to be paid for.</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Confusing passion with infrastructure — mission does not process payroll.</w:t>
      </w:r>
    </w:p>
    <w:p>
      <w:pPr>
        <w:pStyle w:val="ListParagraph"/>
        <w:numPr>
          <w:ilvl w:val="0"/>
          <w:numId w:val="3"/>
        </w:numPr>
        <w:spacing w:after="90" w:line="288"/>
      </w:pPr>
      <w:r>
        <w:rPr>
          <w:rFonts w:ascii="Arial" w:cs="Arial" w:eastAsia="Arial" w:hAnsi="Arial"/>
          <w:color w:val="22303C"/>
          <w:sz w:val="21"/>
          <w:szCs w:val="21"/>
        </w:rPr>
        <w:t xml:space="preserve">Scoring aspirationally because the truth feels disloyal.</w:t>
      </w:r>
    </w:p>
    <w:p>
      <w:pPr>
        <w:pStyle w:val="ListParagraph"/>
        <w:numPr>
          <w:ilvl w:val="0"/>
          <w:numId w:val="3"/>
        </w:numPr>
        <w:spacing w:after="90" w:line="288"/>
      </w:pPr>
      <w:r>
        <w:rPr>
          <w:rFonts w:ascii="Arial" w:cs="Arial" w:eastAsia="Arial" w:hAnsi="Arial"/>
          <w:color w:val="22303C"/>
          <w:sz w:val="21"/>
          <w:szCs w:val="21"/>
        </w:rPr>
        <w:t xml:space="preserve">Building HR sophistication in one domain while governance stays at level 1 (it drags everything down).</w:t>
      </w:r>
    </w:p>
    <w:p>
      <w:pPr>
        <w:pStyle w:val="ListParagraph"/>
        <w:numPr>
          <w:ilvl w:val="0"/>
          <w:numId w:val="3"/>
        </w:numPr>
        <w:spacing w:after="90" w:line="288"/>
      </w:pPr>
      <w:r>
        <w:rPr>
          <w:rFonts w:ascii="Arial" w:cs="Arial" w:eastAsia="Arial" w:hAnsi="Arial"/>
          <w:color w:val="22303C"/>
          <w:sz w:val="21"/>
          <w:szCs w:val="21"/>
        </w:rPr>
        <w:t xml:space="preserve">Treating the map as an audit to pass instead of a build sequence.</w:t>
      </w:r>
    </w:p>
    <w:p>
      <w:pPr>
        <w:pStyle w:val="ListParagraph"/>
        <w:numPr>
          <w:ilvl w:val="0"/>
          <w:numId w:val="3"/>
        </w:numPr>
        <w:spacing w:after="90" w:line="288"/>
      </w:pPr>
      <w:r>
        <w:rPr>
          <w:rFonts w:ascii="Arial" w:cs="Arial" w:eastAsia="Arial" w:hAnsi="Arial"/>
          <w:color w:val="22303C"/>
          <w:sz w:val="21"/>
          <w:szCs w:val="21"/>
        </w:rPr>
        <w:t xml:space="preserve">Assigning every 'next step' to the same exhausted person.</w:t>
      </w:r>
    </w:p>
    <w:p>
      <w:pPr>
        <w:pStyle w:val="ListParagraph"/>
        <w:numPr>
          <w:ilvl w:val="0"/>
          <w:numId w:val="3"/>
        </w:numPr>
        <w:spacing w:after="90" w:line="288"/>
      </w:pPr>
      <w:r>
        <w:rPr>
          <w:rFonts w:ascii="Arial" w:cs="Arial" w:eastAsia="Arial" w:hAnsi="Arial"/>
          <w:color w:val="22303C"/>
          <w:sz w:val="21"/>
          <w:szCs w:val="21"/>
        </w:rPr>
        <w:t xml:space="preserve">Skipping the volunteer boundary domain because 'our volunteers love us.'</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Bring the scoring summary to the ED and board chair together, pick the two lowest domains, and fund one concrete step in each this quarter. Re-score annually — maturity is a build sequence, not a verdict.</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Mission does not replace infrastructure. If the same people problem keeps coming back, the system needs to be rebuilt.</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Nonprofit HR Maturity Map | Version 2026.1 | 210.446.8730 | thomas@faulknerhrsolutions.info | faulknerhrsolutions.info/resources/nonprofit-hr-infrastructure-maturity-map/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NONPROFIT HR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Nonprofit HR Infrastructure Maturity Map</dc:title>
  <dc:creator>Faulkner HR Solutions</dc:creator>
  <dc:description>Score your nonprofit's people infrastructure across eight domains — from governance to burnout — and see what to build next.</dc:description>
  <cp:lastModifiedBy>Un-named</cp:lastModifiedBy>
  <cp:revision>1</cp:revision>
  <dcterms:created xsi:type="dcterms:W3CDTF">2026-07-04T08:16:06.893Z</dcterms:created>
  <dcterms:modified xsi:type="dcterms:W3CDTF">2026-07-04T08:16:06.893Z</dcterms:modified>
</cp:coreProperties>
</file>

<file path=docProps/custom.xml><?xml version="1.0" encoding="utf-8"?>
<Properties xmlns="http://schemas.openxmlformats.org/officeDocument/2006/custom-properties" xmlns:vt="http://schemas.openxmlformats.org/officeDocument/2006/docPropsVTypes"/>
</file>