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60"/>
      </w:pPr>
      <w:r>
        <w:rPr>
          <w:rFonts w:ascii="Arial" w:cs="Arial" w:eastAsia="Arial" w:hAnsi="Arial"/>
          <w:b/>
          <w:bCs/>
          <w:color w:val="C49A3C"/>
          <w:spacing w:val="30"/>
          <w:sz w:val="17"/>
          <w:szCs w:val="17"/>
        </w:rPr>
        <w:t xml:space="preserve">RISK WORKSHEET  |  JURISDICTION: MUNICIPAL / PUBLIC SECTOR  |  VERSION 2026.1</w:t>
      </w:r>
    </w:p>
    <w:p>
      <w:pPr>
        <w:spacing w:after="120"/>
      </w:pPr>
      <w:r>
        <w:rPr>
          <w:rFonts w:ascii="Arial" w:cs="Arial" w:eastAsia="Arial" w:hAnsi="Arial"/>
          <w:b/>
          <w:bCs/>
          <w:color w:val="1B3A52"/>
          <w:sz w:val="44"/>
          <w:szCs w:val="44"/>
        </w:rPr>
        <w:t xml:space="preserve">Critical Vacancy Risk Worksheet</w:t>
      </w:r>
    </w:p>
    <w:p>
      <w:pPr>
        <w:spacing w:after="200" w:line="300"/>
      </w:pPr>
      <w:r>
        <w:rPr>
          <w:rFonts w:ascii="Arial" w:cs="Arial" w:eastAsia="Arial" w:hAnsi="Arial"/>
          <w:i/>
          <w:iCs/>
          <w:color w:val="4A5A6A"/>
          <w:sz w:val="22"/>
          <w:szCs w:val="22"/>
        </w:rPr>
        <w:t xml:space="preserve">Price what the empty chair actually costs — service impact, overtime, compliance, safety — and turn it into a decision.</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8E0E8" w:sz="2"/>
              <w:left w:val="single" w:color="1B3A52" w:sz="24"/>
              <w:bottom w:val="single" w:color="D8E0E8" w:sz="2"/>
              <w:right w:val="single" w:color="D8E0E8" w:sz="2"/>
            </w:tcBorders>
            <w:shd w:fill="F0F4F8" w:val="clear"/>
            <w:tcMar>
              <w:top w:type="dxa" w:w="140"/>
              <w:left w:type="dxa" w:w="180"/>
              <w:bottom w:type="dxa" w:w="140"/>
              <w:right w:type="dxa" w:w="180"/>
            </w:tcMar>
          </w:tcPr>
          <w:p>
            <w:pPr>
              <w:spacing w:after="60"/>
            </w:pPr>
            <w:r>
              <w:rPr>
                <w:rFonts w:ascii="Arial" w:cs="Arial" w:eastAsia="Arial" w:hAnsi="Arial"/>
                <w:b/>
                <w:bCs/>
                <w:color w:val="C49A3C"/>
                <w:spacing w:val="30"/>
                <w:sz w:val="17"/>
                <w:szCs w:val="17"/>
              </w:rPr>
              <w:t xml:space="preserve">WHAT THIS HELPS YOU DO</w:t>
            </w:r>
          </w:p>
          <w:p>
            <w:pPr>
              <w:spacing w:after="0" w:line="300"/>
            </w:pPr>
            <w:r>
              <w:rPr>
                <w:rFonts w:ascii="Arial" w:cs="Arial" w:eastAsia="Arial" w:hAnsi="Arial"/>
                <w:color w:val="22303C"/>
                <w:sz w:val="22"/>
                <w:szCs w:val="22"/>
              </w:rPr>
              <w:t xml:space="preserve">Use this worksheet to quantify what a critical vacancy is costing per month — in overtime, service risk, compliance exposure, and burnout — so the fill-versus-wait decision is made with numbers instead of hope.</w:t>
            </w:r>
          </w:p>
        </w:tc>
      </w:tr>
    </w:tbl>
    <w:p>
      <w:pPr>
        <w:keepNext/>
        <w:pBdr>
          <w:bottom w:val="single" w:color="C49A3C" w:sz="8" w:space="3"/>
        </w:pBdr>
        <w:spacing w:after="140" w:before="320"/>
      </w:pPr>
      <w:r>
        <w:rPr>
          <w:rFonts w:ascii="Arial" w:cs="Arial" w:eastAsia="Arial" w:hAnsi="Arial"/>
          <w:b/>
          <w:bCs/>
          <w:color w:val="1B3A52"/>
          <w:spacing w:val="20"/>
          <w:sz w:val="24"/>
          <w:szCs w:val="24"/>
        </w:rPr>
        <w:t xml:space="preserve">WHEN TO USE THIS DOCUMENT</w:t>
      </w:r>
    </w:p>
    <w:p>
      <w:pPr>
        <w:pStyle w:val="ListParagraph"/>
        <w:numPr>
          <w:ilvl w:val="0"/>
          <w:numId w:val="2"/>
        </w:numPr>
        <w:spacing w:after="80" w:line="288"/>
      </w:pPr>
      <w:r>
        <w:rPr>
          <w:rFonts w:ascii="Arial" w:cs="Arial" w:eastAsia="Arial" w:hAnsi="Arial"/>
          <w:color w:val="22303C"/>
          <w:sz w:val="21"/>
          <w:szCs w:val="21"/>
        </w:rPr>
        <w:t xml:space="preserve">When a critical role has been open more than 30 days</w:t>
      </w:r>
    </w:p>
    <w:p>
      <w:pPr>
        <w:pStyle w:val="ListParagraph"/>
        <w:numPr>
          <w:ilvl w:val="0"/>
          <w:numId w:val="2"/>
        </w:numPr>
        <w:spacing w:after="80" w:line="288"/>
      </w:pPr>
      <w:r>
        <w:rPr>
          <w:rFonts w:ascii="Arial" w:cs="Arial" w:eastAsia="Arial" w:hAnsi="Arial"/>
          <w:color w:val="22303C"/>
          <w:sz w:val="21"/>
          <w:szCs w:val="21"/>
        </w:rPr>
        <w:t xml:space="preserve">Before hiring freezes touch service-critical positions</w:t>
      </w:r>
    </w:p>
    <w:p>
      <w:pPr>
        <w:pStyle w:val="ListParagraph"/>
        <w:numPr>
          <w:ilvl w:val="0"/>
          <w:numId w:val="2"/>
        </w:numPr>
        <w:spacing w:after="80" w:line="288"/>
      </w:pPr>
      <w:r>
        <w:rPr>
          <w:rFonts w:ascii="Arial" w:cs="Arial" w:eastAsia="Arial" w:hAnsi="Arial"/>
          <w:color w:val="22303C"/>
          <w:sz w:val="21"/>
          <w:szCs w:val="21"/>
        </w:rPr>
        <w:t xml:space="preserve">When overtime is quietly absorbing a vacancy</w:t>
      </w:r>
    </w:p>
    <w:p>
      <w:pPr>
        <w:pStyle w:val="ListParagraph"/>
        <w:numPr>
          <w:ilvl w:val="0"/>
          <w:numId w:val="2"/>
        </w:numPr>
        <w:spacing w:after="80" w:line="288"/>
      </w:pPr>
      <w:r>
        <w:rPr>
          <w:rFonts w:ascii="Arial" w:cs="Arial" w:eastAsia="Arial" w:hAnsi="Arial"/>
          <w:color w:val="22303C"/>
          <w:sz w:val="21"/>
          <w:szCs w:val="21"/>
        </w:rPr>
        <w:t xml:space="preserve">When a licensed operator, inspector, or finance role sits empty</w:t>
      </w:r>
    </w:p>
    <w:p>
      <w:pPr>
        <w:pStyle w:val="ListParagraph"/>
        <w:numPr>
          <w:ilvl w:val="0"/>
          <w:numId w:val="2"/>
        </w:numPr>
        <w:spacing w:after="80" w:line="288"/>
      </w:pPr>
      <w:r>
        <w:rPr>
          <w:rFonts w:ascii="Arial" w:cs="Arial" w:eastAsia="Arial" w:hAnsi="Arial"/>
          <w:color w:val="22303C"/>
          <w:sz w:val="21"/>
          <w:szCs w:val="21"/>
        </w:rPr>
        <w:t xml:space="preserve">Before budget season decides which vacancies 'can wait'</w:t>
      </w:r>
    </w:p>
    <w:p>
      <w:pPr>
        <w:keepNext/>
        <w:pBdr>
          <w:bottom w:val="single" w:color="C49A3C" w:sz="8" w:space="3"/>
        </w:pBdr>
        <w:spacing w:after="140" w:before="320"/>
      </w:pPr>
      <w:r>
        <w:rPr>
          <w:rFonts w:ascii="Arial" w:cs="Arial" w:eastAsia="Arial" w:hAnsi="Arial"/>
          <w:b/>
          <w:bCs/>
          <w:color w:val="1B3A52"/>
          <w:spacing w:val="20"/>
          <w:sz w:val="24"/>
          <w:szCs w:val="24"/>
        </w:rPr>
        <w:t xml:space="preserve">WHAT THIS DOCUMENT HELPS PREVENT</w:t>
      </w:r>
    </w:p>
    <w:p>
      <w:pPr>
        <w:pStyle w:val="ListParagraph"/>
        <w:numPr>
          <w:ilvl w:val="0"/>
          <w:numId w:val="2"/>
        </w:numPr>
        <w:spacing w:after="80" w:line="288"/>
      </w:pPr>
      <w:r>
        <w:rPr>
          <w:rFonts w:ascii="Arial" w:cs="Arial" w:eastAsia="Arial" w:hAnsi="Arial"/>
          <w:color w:val="22303C"/>
          <w:sz w:val="21"/>
          <w:szCs w:val="21"/>
        </w:rPr>
        <w:t xml:space="preserve">Vacancy 'savings' that cost more than the salary saved</w:t>
      </w:r>
    </w:p>
    <w:p>
      <w:pPr>
        <w:pStyle w:val="ListParagraph"/>
        <w:numPr>
          <w:ilvl w:val="0"/>
          <w:numId w:val="2"/>
        </w:numPr>
        <w:spacing w:after="80" w:line="288"/>
      </w:pPr>
      <w:r>
        <w:rPr>
          <w:rFonts w:ascii="Arial" w:cs="Arial" w:eastAsia="Arial" w:hAnsi="Arial"/>
          <w:color w:val="22303C"/>
          <w:sz w:val="21"/>
          <w:szCs w:val="21"/>
        </w:rPr>
        <w:t xml:space="preserve">License and compliance lapses when the one certified person is gone</w:t>
      </w:r>
    </w:p>
    <w:p>
      <w:pPr>
        <w:pStyle w:val="ListParagraph"/>
        <w:numPr>
          <w:ilvl w:val="0"/>
          <w:numId w:val="2"/>
        </w:numPr>
        <w:spacing w:after="80" w:line="288"/>
      </w:pPr>
      <w:r>
        <w:rPr>
          <w:rFonts w:ascii="Arial" w:cs="Arial" w:eastAsia="Arial" w:hAnsi="Arial"/>
          <w:color w:val="22303C"/>
          <w:sz w:val="21"/>
          <w:szCs w:val="21"/>
        </w:rPr>
        <w:t xml:space="preserve">Burnout resignations that convert one vacancy into three</w:t>
      </w:r>
    </w:p>
    <w:p>
      <w:pPr>
        <w:pStyle w:val="ListParagraph"/>
        <w:numPr>
          <w:ilvl w:val="0"/>
          <w:numId w:val="2"/>
        </w:numPr>
        <w:spacing w:after="80" w:line="288"/>
      </w:pPr>
      <w:r>
        <w:rPr>
          <w:rFonts w:ascii="Arial" w:cs="Arial" w:eastAsia="Arial" w:hAnsi="Arial"/>
          <w:color w:val="22303C"/>
          <w:sz w:val="21"/>
          <w:szCs w:val="21"/>
        </w:rPr>
        <w:t xml:space="preserve">Public safety and service failures with a known, dated cause</w:t>
      </w:r>
    </w:p>
    <w:p>
      <w:pPr>
        <w:pStyle w:val="ListParagraph"/>
        <w:numPr>
          <w:ilvl w:val="0"/>
          <w:numId w:val="2"/>
        </w:numPr>
        <w:spacing w:after="80" w:line="288"/>
      </w:pPr>
      <w:r>
        <w:rPr>
          <w:rFonts w:ascii="Arial" w:cs="Arial" w:eastAsia="Arial" w:hAnsi="Arial"/>
          <w:color w:val="22303C"/>
          <w:sz w:val="21"/>
          <w:szCs w:val="21"/>
        </w:rPr>
        <w:t xml:space="preserve">Council decisions about positions with no cost picture</w:t>
      </w:r>
    </w:p>
    <w:p>
      <w:pPr>
        <w:spacing w:after="0" w:before="200"/>
      </w:pPr>
      <w:r>
        <w:rPr>
          <w:rFonts w:ascii="Arial" w:cs="Arial" w:eastAsia="Arial" w:hAnsi="Arial"/>
          <w:color w:val="22303C"/>
          <w:sz w:val="8"/>
          <w:szCs w:val="8"/>
        </w:rPr>
        <w:t xml:space="preserve"> </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8E0E8" w:sz="2"/>
              <w:left w:val="single" w:color="C49A3C" w:sz="24"/>
              <w:bottom w:val="single" w:color="D8E0E8" w:sz="2"/>
              <w:right w:val="single" w:color="D8E0E8" w:sz="2"/>
            </w:tcBorders>
            <w:shd w:fill="FBF6EC" w:val="clear"/>
            <w:tcMar>
              <w:top w:type="dxa" w:w="140"/>
              <w:left w:type="dxa" w:w="180"/>
              <w:bottom w:type="dxa" w:w="140"/>
              <w:right w:type="dxa" w:w="180"/>
            </w:tcMar>
          </w:tcPr>
          <w:p>
            <w:pPr>
              <w:spacing w:after="0" w:line="300"/>
            </w:pPr>
            <w:r>
              <w:rPr>
                <w:rFonts w:ascii="Arial" w:cs="Arial" w:eastAsia="Arial" w:hAnsi="Arial"/>
                <w:i/>
                <w:iCs/>
                <w:color w:val="1B3A52"/>
                <w:sz w:val="21"/>
                <w:szCs w:val="21"/>
              </w:rPr>
              <w:t xml:space="preserve">Faulkner HR Solutions focuses on the system behind the people problem. This tool is designed to help employers slow down the decision, identify the risk, and create proof before the issue becomes a claim, complaint, turnover event, or credibility problem.</w:t>
            </w:r>
          </w:p>
        </w:tc>
      </w:tr>
    </w:tbl>
    <w:p>
      <w:pPr>
        <w:keepNext/>
        <w:pBdr>
          <w:bottom w:val="single" w:color="C49A3C" w:sz="8" w:space="3"/>
        </w:pBdr>
        <w:spacing w:after="140" w:before="320"/>
      </w:pPr>
      <w:r>
        <w:rPr>
          <w:rFonts w:ascii="Arial" w:cs="Arial" w:eastAsia="Arial" w:hAnsi="Arial"/>
          <w:b/>
          <w:bCs/>
          <w:color w:val="1B3A52"/>
          <w:spacing w:val="20"/>
          <w:sz w:val="24"/>
          <w:szCs w:val="24"/>
        </w:rPr>
        <w:t xml:space="preserve">BEFORE YOU START: READINESS CHECKLIST</w:t>
      </w:r>
    </w:p>
    <w:p>
      <w:pPr>
        <w:spacing w:after="140" w:line="288"/>
      </w:pPr>
      <w:r>
        <w:rPr>
          <w:rFonts w:ascii="Arial" w:cs="Arial" w:eastAsia="Arial" w:hAnsi="Arial"/>
          <w:color w:val="4A5A6A"/>
          <w:sz w:val="20"/>
          <w:szCs w:val="20"/>
        </w:rPr>
        <w:t xml:space="preserve">Gather the following before working through this document. Incomplete inputs are one of the most common reasons employer decisions fail under later scrutiny.</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907"/>
        <w:gridCol w:w="6552"/>
        <w:gridCol w:w="2621"/>
      </w:tblGrid>
      <w:tr>
        <w:trPr>
          <w:tblHeader/>
        </w:trPr>
        <w:tc>
          <w:tcPr>
            <w:tcW w:type="dxa" w:w="907"/>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Have it</w:t>
            </w:r>
          </w:p>
        </w:tc>
        <w:tc>
          <w:tcPr>
            <w:tcW w:type="dxa" w:w="6552"/>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Input</w:t>
            </w:r>
          </w:p>
        </w:tc>
        <w:tc>
          <w:tcPr>
            <w:tcW w:type="dxa" w:w="2621"/>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Notes / location</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Employee name and role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Date of incident, request, or separation</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Supervisor involved</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Policy or handbook section that applies</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Prior documentation on file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Pay records, if applicable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Relevant emails, texts, notes, or complaints</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Decision-maker name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Deadline, if applicable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pageBreakBefore/>
        <w:spacing w:after="40"/>
      </w:pPr>
      <w:r>
        <w:rPr>
          <w:rFonts w:ascii="Arial" w:cs="Arial" w:eastAsia="Arial" w:hAnsi="Arial"/>
          <w:color w:val="22303C"/>
          <w:sz w:val="8"/>
          <w:szCs w:val="8"/>
        </w:rPr>
        <w:t xml:space="preserve"> </w:t>
      </w:r>
    </w:p>
    <w:p>
      <w:pPr>
        <w:keepNext/>
        <w:pBdr>
          <w:bottom w:val="single" w:color="C49A3C" w:sz="8" w:space="3"/>
        </w:pBdr>
        <w:spacing w:after="140" w:before="320"/>
      </w:pPr>
      <w:r>
        <w:rPr>
          <w:rFonts w:ascii="Arial" w:cs="Arial" w:eastAsia="Arial" w:hAnsi="Arial"/>
          <w:b/>
          <w:bCs/>
          <w:color w:val="1B3A52"/>
          <w:spacing w:val="20"/>
          <w:sz w:val="24"/>
          <w:szCs w:val="24"/>
        </w:rPr>
        <w:t xml:space="preserve">VACANCY RISK WORKSHEET</w:t>
      </w:r>
    </w:p>
    <w:p>
      <w:pPr>
        <w:spacing w:after="160" w:line="288"/>
      </w:pPr>
      <w:r>
        <w:rPr>
          <w:rFonts w:ascii="Arial" w:cs="Arial" w:eastAsia="Arial" w:hAnsi="Arial"/>
          <w:color w:val="4A5A6A"/>
          <w:sz w:val="20"/>
          <w:szCs w:val="20"/>
        </w:rPr>
        <w:t xml:space="preserve">An unfilled position is not saved money — it's redistributed cost. This worksheet finds where the cost went and what it's compounding into.</w:t>
      </w:r>
    </w:p>
    <w:p>
      <w:pPr>
        <w:keepNext/>
        <w:spacing w:after="100" w:before="220"/>
      </w:pPr>
      <w:r>
        <w:rPr>
          <w:rFonts w:ascii="Arial" w:cs="Arial" w:eastAsia="Arial" w:hAnsi="Arial"/>
          <w:b/>
          <w:bCs/>
          <w:color w:val="1B3A52"/>
          <w:sz w:val="22"/>
          <w:szCs w:val="22"/>
        </w:rPr>
        <w:t xml:space="preserve">Part 1 — Vacancy Snapshot</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3427"/>
        <w:gridCol w:w="6653"/>
      </w:tblGrid>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Position and department</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Vacant since (days open)</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Budgeted salary + benefits (the 'savings')</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Required licenses/certifications the position holds</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Recruitment status (posted, interviews, failed searches)</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spacing w:after="160"/>
      </w:pPr>
      <w:r>
        <w:rPr>
          <w:rFonts w:ascii="Arial" w:cs="Arial" w:eastAsia="Arial" w:hAnsi="Arial"/>
          <w:color w:val="22303C"/>
          <w:sz w:val="8"/>
          <w:szCs w:val="8"/>
        </w:rPr>
        <w:t xml:space="preserve"> </w:t>
      </w:r>
    </w:p>
    <w:p>
      <w:pPr>
        <w:keepNext/>
        <w:spacing w:after="100" w:before="220"/>
      </w:pPr>
      <w:r>
        <w:rPr>
          <w:rFonts w:ascii="Arial" w:cs="Arial" w:eastAsia="Arial" w:hAnsi="Arial"/>
          <w:b/>
          <w:bCs/>
          <w:color w:val="1B3A52"/>
          <w:sz w:val="22"/>
          <w:szCs w:val="22"/>
        </w:rPr>
        <w:t xml:space="preserve">Part 2 — Service Impact</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907"/>
        <w:gridCol w:w="6552"/>
        <w:gridCol w:w="2621"/>
      </w:tblGrid>
      <w:tr>
        <w:trPr>
          <w:tblHeader/>
        </w:trPr>
        <w:tc>
          <w:tcPr>
            <w:tcW w:type="dxa" w:w="907"/>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True</w:t>
            </w:r>
          </w:p>
        </w:tc>
        <w:tc>
          <w:tcPr>
            <w:tcW w:type="dxa" w:w="6552"/>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Impact</w:t>
            </w:r>
          </w:p>
        </w:tc>
        <w:tc>
          <w:tcPr>
            <w:tcW w:type="dxa" w:w="2621"/>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Evidence</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Response times or service levels have measurably degraded</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Work is being deferred (inspections, maintenance, reporting) — list what</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A statutory or permit-required function depends on this role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Citizens/customers have complained traceably to the gap</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Another department is absorbing the work informally</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spacing w:after="160"/>
      </w:pPr>
      <w:r>
        <w:rPr>
          <w:rFonts w:ascii="Arial" w:cs="Arial" w:eastAsia="Arial" w:hAnsi="Arial"/>
          <w:color w:val="22303C"/>
          <w:sz w:val="8"/>
          <w:szCs w:val="8"/>
        </w:rPr>
        <w:t xml:space="preserve"> </w:t>
      </w:r>
    </w:p>
    <w:p>
      <w:pPr>
        <w:keepNext/>
        <w:spacing w:after="100" w:before="220"/>
      </w:pPr>
      <w:r>
        <w:rPr>
          <w:rFonts w:ascii="Arial" w:cs="Arial" w:eastAsia="Arial" w:hAnsi="Arial"/>
          <w:b/>
          <w:bCs/>
          <w:color w:val="1B3A52"/>
          <w:sz w:val="22"/>
          <w:szCs w:val="22"/>
        </w:rPr>
        <w:t xml:space="preserve">Part 3 — Cost Redistribution (monthly)</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4032"/>
        <w:gridCol w:w="3808"/>
        <w:gridCol w:w="2240"/>
      </w:tblGrid>
      <w:tr>
        <w:trPr>
          <w:tblHeader/>
        </w:trPr>
        <w:tc>
          <w:tcPr>
            <w:tcW w:type="dxa" w:w="4032"/>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Cost line</w:t>
            </w:r>
          </w:p>
        </w:tc>
        <w:tc>
          <w:tcPr>
            <w:tcW w:type="dxa" w:w="3808"/>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How calculated</w:t>
            </w:r>
          </w:p>
        </w:tc>
        <w:tc>
          <w:tcPr>
            <w:tcW w:type="dxa" w:w="2240"/>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Monthly $</w:t>
            </w:r>
          </w:p>
        </w:tc>
      </w:tr>
      <w:tr>
        <w:tc>
          <w:tcPr>
            <w:tcW w:type="dxa" w:w="403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Overtime covering the gap</w:t>
            </w:r>
          </w:p>
        </w:tc>
        <w:tc>
          <w:tcPr>
            <w:tcW w:type="dxa" w:w="3808"/>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OT hours × loaded rates</w:t>
            </w:r>
          </w:p>
        </w:tc>
        <w:tc>
          <w:tcPr>
            <w:tcW w:type="dxa" w:w="2240"/>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03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Contractor / mutual aid backfill</w:t>
            </w:r>
          </w:p>
        </w:tc>
        <w:tc>
          <w:tcPr>
            <w:tcW w:type="dxa" w:w="3808"/>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Invoices</w:t>
            </w:r>
          </w:p>
        </w:tc>
        <w:tc>
          <w:tcPr>
            <w:tcW w:type="dxa" w:w="2240"/>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03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Deferred maintenance / rework risk</w:t>
            </w:r>
          </w:p>
        </w:tc>
        <w:tc>
          <w:tcPr>
            <w:tcW w:type="dxa" w:w="3808"/>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Estimate honestly</w:t>
            </w:r>
          </w:p>
        </w:tc>
        <w:tc>
          <w:tcPr>
            <w:tcW w:type="dxa" w:w="2240"/>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03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Supervisor time absorbed</w:t>
            </w:r>
          </w:p>
        </w:tc>
        <w:tc>
          <w:tcPr>
            <w:tcW w:type="dxa" w:w="3808"/>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Hours × rate</w:t>
            </w:r>
          </w:p>
        </w:tc>
        <w:tc>
          <w:tcPr>
            <w:tcW w:type="dxa" w:w="2240"/>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03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Recruitment restarts (failed searches)</w:t>
            </w:r>
          </w:p>
        </w:tc>
        <w:tc>
          <w:tcPr>
            <w:tcW w:type="dxa" w:w="3808"/>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Advertising + panel time</w:t>
            </w:r>
          </w:p>
        </w:tc>
        <w:tc>
          <w:tcPr>
            <w:tcW w:type="dxa" w:w="2240"/>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03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TOTAL monthly cost vs. budgeted 'savings'</w:t>
            </w:r>
          </w:p>
        </w:tc>
        <w:tc>
          <w:tcPr>
            <w:tcW w:type="dxa" w:w="3808"/>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c>
          <w:tcPr>
            <w:tcW w:type="dxa" w:w="2240"/>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spacing w:after="160"/>
      </w:pPr>
      <w:r>
        <w:rPr>
          <w:rFonts w:ascii="Arial" w:cs="Arial" w:eastAsia="Arial" w:hAnsi="Arial"/>
          <w:color w:val="22303C"/>
          <w:sz w:val="8"/>
          <w:szCs w:val="8"/>
        </w:rPr>
        <w:t xml:space="preserve"> </w:t>
      </w:r>
    </w:p>
    <w:p>
      <w:pPr>
        <w:keepNext/>
        <w:spacing w:after="100" w:before="220"/>
      </w:pPr>
      <w:r>
        <w:rPr>
          <w:rFonts w:ascii="Arial" w:cs="Arial" w:eastAsia="Arial" w:hAnsi="Arial"/>
          <w:b/>
          <w:bCs/>
          <w:color w:val="1B3A52"/>
          <w:sz w:val="22"/>
          <w:szCs w:val="22"/>
        </w:rPr>
        <w:t xml:space="preserve">Part 4 — Compliance and Safety Risk</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907"/>
        <w:gridCol w:w="6552"/>
        <w:gridCol w:w="2621"/>
      </w:tblGrid>
      <w:tr>
        <w:trPr>
          <w:tblHeader/>
        </w:trPr>
        <w:tc>
          <w:tcPr>
            <w:tcW w:type="dxa" w:w="907"/>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True</w:t>
            </w:r>
          </w:p>
        </w:tc>
        <w:tc>
          <w:tcPr>
            <w:tcW w:type="dxa" w:w="6552"/>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Risk</w:t>
            </w:r>
          </w:p>
        </w:tc>
        <w:tc>
          <w:tcPr>
            <w:tcW w:type="dxa" w:w="2621"/>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Details</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A license the system requires (water operator, inspector, CDL) is now held by one person or zero</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Required reports, filings, or sampling are late or at risk</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Safety coverage (confined space, traffic control, second responder) is thinner than policy requires</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Single point of failure: one illness or resignation from service disruption</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spacing w:after="160"/>
      </w:pPr>
      <w:r>
        <w:rPr>
          <w:rFonts w:ascii="Arial" w:cs="Arial" w:eastAsia="Arial" w:hAnsi="Arial"/>
          <w:color w:val="22303C"/>
          <w:sz w:val="8"/>
          <w:szCs w:val="8"/>
        </w:rPr>
        <w:t xml:space="preserve"> </w:t>
      </w:r>
    </w:p>
    <w:p>
      <w:pPr>
        <w:keepNext/>
        <w:spacing w:after="100" w:before="220"/>
      </w:pPr>
      <w:r>
        <w:rPr>
          <w:rFonts w:ascii="Arial" w:cs="Arial" w:eastAsia="Arial" w:hAnsi="Arial"/>
          <w:b/>
          <w:bCs/>
          <w:color w:val="1B3A52"/>
          <w:sz w:val="22"/>
          <w:szCs w:val="22"/>
        </w:rPr>
        <w:t xml:space="preserve">Part 5 — Burnout / Cascade Risk</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2912"/>
        <w:gridCol w:w="1792"/>
        <w:gridCol w:w="3136"/>
        <w:gridCol w:w="2240"/>
      </w:tblGrid>
      <w:tr>
        <w:trPr>
          <w:tblHeader/>
        </w:trPr>
        <w:tc>
          <w:tcPr>
            <w:tcW w:type="dxa" w:w="2912"/>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Employee absorbing the load</w:t>
            </w:r>
          </w:p>
        </w:tc>
        <w:tc>
          <w:tcPr>
            <w:tcW w:type="dxa" w:w="1792"/>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Extra hours/mo</w:t>
            </w:r>
          </w:p>
        </w:tc>
        <w:tc>
          <w:tcPr>
            <w:tcW w:type="dxa" w:w="3136"/>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Fatigue/morale signals</w:t>
            </w:r>
          </w:p>
        </w:tc>
        <w:tc>
          <w:tcPr>
            <w:tcW w:type="dxa" w:w="2240"/>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Flight risk (1-3)</w:t>
            </w:r>
          </w:p>
        </w:tc>
      </w:tr>
      <w:tr>
        <w:tc>
          <w:tcPr>
            <w:tcW w:type="dxa" w:w="291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c>
          <w:tcPr>
            <w:tcW w:type="dxa" w:w="179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c>
          <w:tcPr>
            <w:tcW w:type="dxa" w:w="3136"/>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c>
          <w:tcPr>
            <w:tcW w:type="dxa" w:w="2240"/>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291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c>
          <w:tcPr>
            <w:tcW w:type="dxa" w:w="179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c>
          <w:tcPr>
            <w:tcW w:type="dxa" w:w="3136"/>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c>
          <w:tcPr>
            <w:tcW w:type="dxa" w:w="2240"/>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291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c>
          <w:tcPr>
            <w:tcW w:type="dxa" w:w="179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c>
          <w:tcPr>
            <w:tcW w:type="dxa" w:w="3136"/>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c>
          <w:tcPr>
            <w:tcW w:type="dxa" w:w="2240"/>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291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c>
          <w:tcPr>
            <w:tcW w:type="dxa" w:w="179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c>
          <w:tcPr>
            <w:tcW w:type="dxa" w:w="3136"/>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c>
          <w:tcPr>
            <w:tcW w:type="dxa" w:w="2240"/>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spacing w:after="160"/>
      </w:pPr>
      <w:r>
        <w:rPr>
          <w:rFonts w:ascii="Arial" w:cs="Arial" w:eastAsia="Arial" w:hAnsi="Arial"/>
          <w:color w:val="22303C"/>
          <w:sz w:val="8"/>
          <w:szCs w:val="8"/>
        </w:rPr>
        <w:t xml:space="preserve"> </w:t>
      </w:r>
    </w:p>
    <w:p>
      <w:pPr>
        <w:keepNext/>
        <w:spacing w:after="100" w:before="220"/>
      </w:pPr>
      <w:r>
        <w:rPr>
          <w:rFonts w:ascii="Arial" w:cs="Arial" w:eastAsia="Arial" w:hAnsi="Arial"/>
          <w:b/>
          <w:bCs/>
          <w:color w:val="1B3A52"/>
          <w:sz w:val="22"/>
          <w:szCs w:val="22"/>
        </w:rPr>
        <w:t xml:space="preserve">Part 6 — Decision</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3427"/>
        <w:gridCol w:w="6653"/>
      </w:tblGrid>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Total monthly cost of vacancy (Part 3) vs. monthly cost of filling</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Risk rating (low / elevated / critical) with basis</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Recommended action (expedite fill / interim contract / restructure / accept with mitigation)</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Mitigation while open (rotation relief, temp coverage, deferral decisions made explicit)</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Decision authority and date</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spacing w:after="160"/>
      </w:pPr>
      <w:r>
        <w:rPr>
          <w:rFonts w:ascii="Arial" w:cs="Arial" w:eastAsia="Arial" w:hAnsi="Arial"/>
          <w:color w:val="22303C"/>
          <w:sz w:val="8"/>
          <w:szCs w:val="8"/>
        </w:rPr>
        <w:t xml:space="preserve"> </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3225"/>
        <w:gridCol w:w="4636"/>
        <w:gridCol w:w="2219"/>
      </w:tblGrid>
      <w:tr>
        <w:trPr>
          <w:tblHeader/>
        </w:trPr>
        <w:tc>
          <w:tcPr>
            <w:tcW w:type="dxa" w:w="3225"/>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Role</w:t>
            </w:r>
          </w:p>
        </w:tc>
        <w:tc>
          <w:tcPr>
            <w:tcW w:type="dxa" w:w="4636"/>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Name / signature</w:t>
            </w:r>
          </w:p>
        </w:tc>
        <w:tc>
          <w:tcPr>
            <w:tcW w:type="dxa" w:w="2219"/>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Date</w:t>
            </w:r>
          </w:p>
        </w:tc>
      </w:tr>
      <w:tr>
        <w:tc>
          <w:tcPr>
            <w:tcW w:type="dxa" w:w="3225"/>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Prepared by</w:t>
            </w:r>
          </w:p>
        </w:tc>
        <w:tc>
          <w:tcPr>
            <w:tcW w:type="dxa" w:w="4636"/>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before="240"/>
            </w:pPr>
            <w:r>
              <w:rPr>
                <w:rFonts w:ascii="Arial" w:cs="Arial" w:eastAsia="Arial" w:hAnsi="Arial"/>
                <w:color w:val="22303C"/>
                <w:sz w:val="20"/>
                <w:szCs w:val="20"/>
              </w:rPr>
              <w:t xml:space="preserve"> </w:t>
            </w:r>
          </w:p>
        </w:tc>
        <w:tc>
          <w:tcPr>
            <w:tcW w:type="dxa" w:w="2219"/>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before="240"/>
            </w:pPr>
            <w:r>
              <w:rPr>
                <w:rFonts w:ascii="Arial" w:cs="Arial" w:eastAsia="Arial" w:hAnsi="Arial"/>
                <w:color w:val="22303C"/>
                <w:sz w:val="20"/>
                <w:szCs w:val="20"/>
              </w:rPr>
              <w:t xml:space="preserve"> </w:t>
            </w:r>
          </w:p>
        </w:tc>
      </w:tr>
      <w:tr>
        <w:tc>
          <w:tcPr>
            <w:tcW w:type="dxa" w:w="3225"/>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Department head</w:t>
            </w:r>
          </w:p>
        </w:tc>
        <w:tc>
          <w:tcPr>
            <w:tcW w:type="dxa" w:w="4636"/>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before="240"/>
            </w:pPr>
            <w:r>
              <w:rPr>
                <w:rFonts w:ascii="Arial" w:cs="Arial" w:eastAsia="Arial" w:hAnsi="Arial"/>
                <w:color w:val="22303C"/>
                <w:sz w:val="20"/>
                <w:szCs w:val="20"/>
              </w:rPr>
              <w:t xml:space="preserve"> </w:t>
            </w:r>
          </w:p>
        </w:tc>
        <w:tc>
          <w:tcPr>
            <w:tcW w:type="dxa" w:w="2219"/>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before="240"/>
            </w:pPr>
            <w:r>
              <w:rPr>
                <w:rFonts w:ascii="Arial" w:cs="Arial" w:eastAsia="Arial" w:hAnsi="Arial"/>
                <w:color w:val="22303C"/>
                <w:sz w:val="20"/>
                <w:szCs w:val="20"/>
              </w:rPr>
              <w:t xml:space="preserve"> </w:t>
            </w:r>
          </w:p>
        </w:tc>
      </w:tr>
      <w:tr>
        <w:tc>
          <w:tcPr>
            <w:tcW w:type="dxa" w:w="3225"/>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Manager / administrator</w:t>
            </w:r>
          </w:p>
        </w:tc>
        <w:tc>
          <w:tcPr>
            <w:tcW w:type="dxa" w:w="4636"/>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before="240"/>
            </w:pPr>
            <w:r>
              <w:rPr>
                <w:rFonts w:ascii="Arial" w:cs="Arial" w:eastAsia="Arial" w:hAnsi="Arial"/>
                <w:color w:val="22303C"/>
                <w:sz w:val="20"/>
                <w:szCs w:val="20"/>
              </w:rPr>
              <w:t xml:space="preserve"> </w:t>
            </w:r>
          </w:p>
        </w:tc>
        <w:tc>
          <w:tcPr>
            <w:tcW w:type="dxa" w:w="2219"/>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before="240"/>
            </w:pPr>
            <w:r>
              <w:rPr>
                <w:rFonts w:ascii="Arial" w:cs="Arial" w:eastAsia="Arial" w:hAnsi="Arial"/>
                <w:color w:val="22303C"/>
                <w:sz w:val="20"/>
                <w:szCs w:val="20"/>
              </w:rPr>
              <w:t xml:space="preserve"> </w:t>
            </w:r>
          </w:p>
        </w:tc>
      </w:tr>
    </w:tbl>
    <w:p>
      <w:pPr>
        <w:spacing w:after="160"/>
      </w:pPr>
      <w:r>
        <w:rPr>
          <w:rFonts w:ascii="Arial" w:cs="Arial" w:eastAsia="Arial" w:hAnsi="Arial"/>
          <w:color w:val="22303C"/>
          <w:sz w:val="8"/>
          <w:szCs w:val="8"/>
        </w:rPr>
        <w:t xml:space="preserve"> </w:t>
      </w:r>
    </w:p>
    <w:p>
      <w:pPr>
        <w:keepNext/>
        <w:pBdr>
          <w:bottom w:val="single" w:color="C49A3C" w:sz="8" w:space="3"/>
        </w:pBdr>
        <w:spacing w:after="140" w:before="320"/>
      </w:pPr>
      <w:r>
        <w:rPr>
          <w:rFonts w:ascii="Arial" w:cs="Arial" w:eastAsia="Arial" w:hAnsi="Arial"/>
          <w:b/>
          <w:bCs/>
          <w:color w:val="1B3A52"/>
          <w:spacing w:val="20"/>
          <w:sz w:val="24"/>
          <w:szCs w:val="24"/>
        </w:rPr>
        <w:t xml:space="preserve">STOP AND REVIEW BEFORE ACTING</w:t>
      </w:r>
    </w:p>
    <w:p>
      <w:pPr>
        <w:spacing w:after="140" w:line="288"/>
      </w:pPr>
      <w:r>
        <w:rPr>
          <w:rFonts w:ascii="Arial" w:cs="Arial" w:eastAsia="Arial" w:hAnsi="Arial"/>
          <w:color w:val="4A5A6A"/>
          <w:sz w:val="20"/>
          <w:szCs w:val="20"/>
        </w:rPr>
        <w:t xml:space="preserve">If any statement below is true, pause. Get the decision reviewed by HR, counsel, or Faulkner HR Solutions before you act.</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8E0E8" w:sz="2"/>
              <w:left w:val="single" w:color="B33A3A" w:sz="24"/>
              <w:bottom w:val="single" w:color="D8E0E8" w:sz="2"/>
              <w:right w:val="single" w:color="D8E0E8" w:sz="2"/>
            </w:tcBorders>
            <w:shd w:fill="FBF1F1" w:val="clear"/>
            <w:tcMar>
              <w:top w:type="dxa" w:w="140"/>
              <w:left w:type="dxa" w:w="180"/>
              <w:bottom w:type="dxa" w:w="140"/>
              <w:right w:type="dxa" w:w="180"/>
            </w:tcMar>
          </w:tcPr>
          <w:p>
            <w:pPr>
              <w:spacing w:after="90" w:line="288"/>
            </w:pPr>
            <w:r>
              <w:rPr>
                <w:rFonts w:ascii="Arial" w:cs="Arial" w:eastAsia="Arial" w:hAnsi="Arial"/>
                <w:color w:val="B33A3A"/>
                <w:sz w:val="24"/>
                <w:szCs w:val="24"/>
              </w:rPr>
              <w:t xml:space="preserve">☐  </w:t>
            </w:r>
            <w:r>
              <w:rPr>
                <w:rFonts w:ascii="Arial" w:cs="Arial" w:eastAsia="Arial" w:hAnsi="Arial"/>
                <w:color w:val="22303C"/>
                <w:sz w:val="20"/>
                <w:szCs w:val="20"/>
              </w:rPr>
              <w:t xml:space="preserve">One license-holder remains for a permit-required system.</w:t>
            </w:r>
          </w:p>
          <w:p>
            <w:pPr>
              <w:spacing w:after="90" w:line="288"/>
            </w:pPr>
            <w:r>
              <w:rPr>
                <w:rFonts w:ascii="Arial" w:cs="Arial" w:eastAsia="Arial" w:hAnsi="Arial"/>
                <w:color w:val="B33A3A"/>
                <w:sz w:val="24"/>
                <w:szCs w:val="24"/>
              </w:rPr>
              <w:t xml:space="preserve">☐  </w:t>
            </w:r>
            <w:r>
              <w:rPr>
                <w:rFonts w:ascii="Arial" w:cs="Arial" w:eastAsia="Arial" w:hAnsi="Arial"/>
                <w:color w:val="22303C"/>
                <w:sz w:val="20"/>
                <w:szCs w:val="20"/>
              </w:rPr>
              <w:t xml:space="preserve">The employee covering the vacancy is showing the same exit signals as the person who left.</w:t>
            </w:r>
          </w:p>
          <w:p>
            <w:pPr>
              <w:spacing w:after="90" w:line="288"/>
            </w:pPr>
            <w:r>
              <w:rPr>
                <w:rFonts w:ascii="Arial" w:cs="Arial" w:eastAsia="Arial" w:hAnsi="Arial"/>
                <w:color w:val="B33A3A"/>
                <w:sz w:val="24"/>
                <w:szCs w:val="24"/>
              </w:rPr>
              <w:t xml:space="preserve">☐  </w:t>
            </w:r>
            <w:r>
              <w:rPr>
                <w:rFonts w:ascii="Arial" w:cs="Arial" w:eastAsia="Arial" w:hAnsi="Arial"/>
                <w:color w:val="22303C"/>
                <w:sz w:val="20"/>
                <w:szCs w:val="20"/>
              </w:rPr>
              <w:t xml:space="preserve">Overtime already exceeds the vacant position's salary.</w:t>
            </w:r>
          </w:p>
          <w:p>
            <w:pPr>
              <w:spacing w:after="90" w:line="288"/>
            </w:pPr>
            <w:r>
              <w:rPr>
                <w:rFonts w:ascii="Arial" w:cs="Arial" w:eastAsia="Arial" w:hAnsi="Arial"/>
                <w:color w:val="B33A3A"/>
                <w:sz w:val="24"/>
                <w:szCs w:val="24"/>
              </w:rPr>
              <w:t xml:space="preserve">☐  </w:t>
            </w:r>
            <w:r>
              <w:rPr>
                <w:rFonts w:ascii="Arial" w:cs="Arial" w:eastAsia="Arial" w:hAnsi="Arial"/>
                <w:color w:val="22303C"/>
                <w:sz w:val="20"/>
                <w:szCs w:val="20"/>
              </w:rPr>
              <w:t xml:space="preserve">A statutory deadline depends on capacity that no longer exists.</w:t>
            </w:r>
          </w:p>
          <w:p>
            <w:pPr>
              <w:spacing w:after="0" w:line="288"/>
            </w:pPr>
            <w:r>
              <w:rPr>
                <w:rFonts w:ascii="Arial" w:cs="Arial" w:eastAsia="Arial" w:hAnsi="Arial"/>
                <w:color w:val="B33A3A"/>
                <w:sz w:val="24"/>
                <w:szCs w:val="24"/>
              </w:rPr>
              <w:t xml:space="preserve">☐  </w:t>
            </w:r>
            <w:r>
              <w:rPr>
                <w:rFonts w:ascii="Arial" w:cs="Arial" w:eastAsia="Arial" w:hAnsi="Arial"/>
                <w:color w:val="22303C"/>
                <w:sz w:val="20"/>
                <w:szCs w:val="20"/>
              </w:rPr>
              <w:t xml:space="preserve">The 'temporary' coverage plan is in month seven.</w:t>
            </w:r>
          </w:p>
        </w:tc>
      </w:tr>
    </w:tbl>
    <w:p>
      <w:pPr>
        <w:keepNext/>
        <w:pBdr>
          <w:bottom w:val="single" w:color="C49A3C" w:sz="8" w:space="3"/>
        </w:pBdr>
        <w:spacing w:after="140" w:before="320"/>
      </w:pPr>
      <w:r>
        <w:rPr>
          <w:rFonts w:ascii="Arial" w:cs="Arial" w:eastAsia="Arial" w:hAnsi="Arial"/>
          <w:b/>
          <w:bCs/>
          <w:color w:val="1B3A52"/>
          <w:spacing w:val="20"/>
          <w:sz w:val="24"/>
          <w:szCs w:val="24"/>
        </w:rPr>
        <w:t xml:space="preserve">MINIMUM DOCUMENTATION STANDARD</w:t>
      </w:r>
    </w:p>
    <w:p>
      <w:pPr>
        <w:spacing w:after="140" w:line="288"/>
      </w:pPr>
      <w:r>
        <w:rPr>
          <w:rFonts w:ascii="Arial" w:cs="Arial" w:eastAsia="Arial" w:hAnsi="Arial"/>
          <w:color w:val="4A5A6A"/>
          <w:sz w:val="20"/>
          <w:szCs w:val="20"/>
        </w:rPr>
        <w:t xml:space="preserve">Before this file is closed, the employer should be able to answer every question below and point to where the proof lives.</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4233"/>
        <w:gridCol w:w="5847"/>
      </w:tblGrid>
      <w:tr>
        <w:trPr>
          <w:tblHeader/>
        </w:trPr>
        <w:tc>
          <w:tcPr>
            <w:tcW w:type="dxa" w:w="4233"/>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Question</w:t>
            </w:r>
          </w:p>
        </w:tc>
        <w:tc>
          <w:tcPr>
            <w:tcW w:type="dxa" w:w="5847"/>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Your answer / where the proof is stored</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What happened?</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When did it happen?</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Who observed or reported it?</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What policy, standard, deadline, or expectation applies?</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What decision was made?</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Who had authority to make the decision?</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What alternatives were considered?</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What risk was reviewed?</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What follow-up is required?</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Where is the proof stored?</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keepNext/>
        <w:pBdr>
          <w:bottom w:val="single" w:color="C49A3C" w:sz="8" w:space="3"/>
        </w:pBdr>
        <w:spacing w:after="140" w:before="320"/>
      </w:pPr>
      <w:r>
        <w:rPr>
          <w:rFonts w:ascii="Arial" w:cs="Arial" w:eastAsia="Arial" w:hAnsi="Arial"/>
          <w:b/>
          <w:bCs/>
          <w:color w:val="1B3A52"/>
          <w:spacing w:val="20"/>
          <w:sz w:val="24"/>
          <w:szCs w:val="24"/>
        </w:rPr>
        <w:t xml:space="preserve">COMMON MISTAKES</w:t>
      </w:r>
    </w:p>
    <w:p>
      <w:pPr>
        <w:pStyle w:val="ListParagraph"/>
        <w:numPr>
          <w:ilvl w:val="0"/>
          <w:numId w:val="3"/>
        </w:numPr>
        <w:spacing w:after="90" w:line="288"/>
      </w:pPr>
      <w:r>
        <w:rPr>
          <w:rFonts w:ascii="Arial" w:cs="Arial" w:eastAsia="Arial" w:hAnsi="Arial"/>
          <w:color w:val="22303C"/>
          <w:sz w:val="21"/>
          <w:szCs w:val="21"/>
        </w:rPr>
        <w:t xml:space="preserve">Counting the vacancy as budget savings while overtime eats 130% of it.</w:t>
      </w:r>
    </w:p>
    <w:p>
      <w:pPr>
        <w:pStyle w:val="ListParagraph"/>
        <w:numPr>
          <w:ilvl w:val="0"/>
          <w:numId w:val="3"/>
        </w:numPr>
        <w:spacing w:after="90" w:line="288"/>
      </w:pPr>
      <w:r>
        <w:rPr>
          <w:rFonts w:ascii="Arial" w:cs="Arial" w:eastAsia="Arial" w:hAnsi="Arial"/>
          <w:color w:val="22303C"/>
          <w:sz w:val="21"/>
          <w:szCs w:val="21"/>
        </w:rPr>
        <w:t xml:space="preserve">Assuming exempt staff absorbing the work is free — burnout resignations are the invoice.</w:t>
      </w:r>
    </w:p>
    <w:p>
      <w:pPr>
        <w:pStyle w:val="ListParagraph"/>
        <w:numPr>
          <w:ilvl w:val="0"/>
          <w:numId w:val="3"/>
        </w:numPr>
        <w:spacing w:after="90" w:line="288"/>
      </w:pPr>
      <w:r>
        <w:rPr>
          <w:rFonts w:ascii="Arial" w:cs="Arial" w:eastAsia="Arial" w:hAnsi="Arial"/>
          <w:color w:val="22303C"/>
          <w:sz w:val="21"/>
          <w:szCs w:val="21"/>
        </w:rPr>
        <w:t xml:space="preserve">Leaving 'what are we NOT doing' undecided, so deferral happens by accident.</w:t>
      </w:r>
    </w:p>
    <w:p>
      <w:pPr>
        <w:pStyle w:val="ListParagraph"/>
        <w:numPr>
          <w:ilvl w:val="0"/>
          <w:numId w:val="3"/>
        </w:numPr>
        <w:spacing w:after="90" w:line="288"/>
      </w:pPr>
      <w:r>
        <w:rPr>
          <w:rFonts w:ascii="Arial" w:cs="Arial" w:eastAsia="Arial" w:hAnsi="Arial"/>
          <w:color w:val="22303C"/>
          <w:sz w:val="21"/>
          <w:szCs w:val="21"/>
        </w:rPr>
        <w:t xml:space="preserve">Waiting for budget season when the cascade is happening now.</w:t>
      </w:r>
    </w:p>
    <w:p>
      <w:pPr>
        <w:pStyle w:val="ListParagraph"/>
        <w:numPr>
          <w:ilvl w:val="0"/>
          <w:numId w:val="3"/>
        </w:numPr>
        <w:spacing w:after="90" w:line="288"/>
      </w:pPr>
      <w:r>
        <w:rPr>
          <w:rFonts w:ascii="Arial" w:cs="Arial" w:eastAsia="Arial" w:hAnsi="Arial"/>
          <w:color w:val="22303C"/>
          <w:sz w:val="21"/>
          <w:szCs w:val="21"/>
        </w:rPr>
        <w:t xml:space="preserve">Recruiting at a rate the market already refused twice.</w:t>
      </w:r>
    </w:p>
    <w:p>
      <w:pPr>
        <w:pStyle w:val="ListParagraph"/>
        <w:numPr>
          <w:ilvl w:val="0"/>
          <w:numId w:val="3"/>
        </w:numPr>
        <w:spacing w:after="90" w:line="288"/>
      </w:pPr>
      <w:r>
        <w:rPr>
          <w:rFonts w:ascii="Arial" w:cs="Arial" w:eastAsia="Arial" w:hAnsi="Arial"/>
          <w:color w:val="22303C"/>
          <w:sz w:val="21"/>
          <w:szCs w:val="21"/>
        </w:rPr>
        <w:t xml:space="preserve">Never telling council the true cost, then absorbing blame when service fails.</w:t>
      </w:r>
    </w:p>
    <w:p>
      <w:pPr>
        <w:keepNext/>
        <w:pBdr>
          <w:bottom w:val="single" w:color="C49A3C" w:sz="8" w:space="3"/>
        </w:pBdr>
        <w:spacing w:after="140" w:before="320"/>
      </w:pPr>
      <w:r>
        <w:rPr>
          <w:rFonts w:ascii="Arial" w:cs="Arial" w:eastAsia="Arial" w:hAnsi="Arial"/>
          <w:b/>
          <w:bCs/>
          <w:color w:val="1B3A52"/>
          <w:spacing w:val="20"/>
          <w:sz w:val="24"/>
          <w:szCs w:val="24"/>
        </w:rPr>
        <w:t xml:space="preserve">WHAT TO DO NEXT</w:t>
      </w:r>
    </w:p>
    <w:p>
      <w:pPr>
        <w:spacing w:after="120" w:line="300"/>
      </w:pPr>
      <w:r>
        <w:rPr>
          <w:rFonts w:ascii="Arial" w:cs="Arial" w:eastAsia="Arial" w:hAnsi="Arial"/>
          <w:color w:val="22303C"/>
          <w:sz w:val="21"/>
          <w:szCs w:val="21"/>
        </w:rPr>
        <w:t xml:space="preserve">Take the completed worksheet to the fill/no-fill decision-maker this week — it's one page of numbers. If the answer is still 'wait,' the mitigation section becomes the plan of record, and the burnout table gets re-checked monthly.</w:t>
      </w:r>
    </w:p>
    <w:p>
      <w:pPr>
        <w:spacing w:after="0" w:before="120"/>
      </w:pPr>
      <w:r>
        <w:rPr>
          <w:rFonts w:ascii="Arial" w:cs="Arial" w:eastAsia="Arial" w:hAnsi="Arial"/>
          <w:color w:val="22303C"/>
          <w:sz w:val="8"/>
          <w:szCs w:val="8"/>
        </w:rPr>
        <w:t xml:space="preserve"> </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8E0E8" w:sz="2"/>
              <w:left w:val="single" w:color="1B3A52" w:sz="24"/>
              <w:bottom w:val="single" w:color="D8E0E8" w:sz="2"/>
              <w:right w:val="single" w:color="D8E0E8" w:sz="2"/>
            </w:tcBorders>
            <w:shd w:fill="F0F4F8" w:val="clear"/>
            <w:tcMar>
              <w:top w:type="dxa" w:w="140"/>
              <w:left w:type="dxa" w:w="180"/>
              <w:bottom w:type="dxa" w:w="140"/>
              <w:right w:type="dxa" w:w="180"/>
            </w:tcMar>
          </w:tcPr>
          <w:p>
            <w:pPr>
              <w:spacing w:after="80" w:line="288"/>
            </w:pPr>
            <w:r>
              <w:rPr>
                <w:rFonts w:ascii="Arial" w:cs="Arial" w:eastAsia="Arial" w:hAnsi="Arial"/>
                <w:b/>
                <w:bCs/>
                <w:color w:val="1B3A52"/>
                <w:sz w:val="21"/>
                <w:szCs w:val="21"/>
              </w:rPr>
              <w:t xml:space="preserve">Before you terminate, deduct, discipline, classify, or respond, get the decision reviewed.</w:t>
            </w:r>
          </w:p>
          <w:p>
            <w:pPr>
              <w:spacing w:after="0"/>
            </w:pPr>
            <w:r>
              <w:rPr>
                <w:rFonts w:ascii="Arial" w:cs="Arial" w:eastAsia="Arial" w:hAnsi="Arial"/>
                <w:color w:val="22303C"/>
                <w:sz w:val="20"/>
                <w:szCs w:val="20"/>
              </w:rPr>
              <w:t xml:space="preserve">Call 210.446.8730 or email thomas@faulknerhrsolutions.info.</w:t>
            </w:r>
          </w:p>
        </w:tc>
      </w:tr>
    </w:tbl>
    <w:p>
      <w:pPr>
        <w:pageBreakBefore/>
        <w:spacing w:after="200"/>
      </w:pPr>
      <w:r>
        <w:rPr>
          <w:rFonts w:ascii="Arial" w:cs="Arial" w:eastAsia="Arial" w:hAnsi="Arial"/>
          <w:color w:val="22303C"/>
          <w:sz w:val="8"/>
          <w:szCs w:val="8"/>
        </w:rPr>
        <w:t xml:space="preserve"> </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8E0E8" w:sz="2"/>
              <w:left w:val="single" w:color="1B3A52" w:sz="24"/>
              <w:bottom w:val="single" w:color="D8E0E8" w:sz="2"/>
              <w:right w:val="single" w:color="D8E0E8" w:sz="2"/>
            </w:tcBorders>
            <w:shd w:fill="F0F4F8" w:val="clear"/>
            <w:tcMar>
              <w:top w:type="dxa" w:w="140"/>
              <w:left w:type="dxa" w:w="180"/>
              <w:bottom w:type="dxa" w:w="140"/>
              <w:right w:type="dxa" w:w="180"/>
            </w:tcMar>
          </w:tcPr>
          <w:p>
            <w:pPr>
              <w:spacing w:after="0" w:line="300"/>
            </w:pPr>
            <w:r>
              <w:rPr>
                <w:rFonts w:ascii="Arial" w:cs="Arial" w:eastAsia="Arial" w:hAnsi="Arial"/>
                <w:b/>
                <w:bCs/>
                <w:i/>
                <w:iCs/>
                <w:color w:val="1B3A52"/>
                <w:sz w:val="21"/>
                <w:szCs w:val="21"/>
              </w:rPr>
              <w:t xml:space="preserve">Public-sector HR decisions have to survive more than internal disagreement. They have to survive records requests, council questions, budget scrutiny, and public trust.</w:t>
            </w:r>
          </w:p>
        </w:tc>
      </w:tr>
    </w:tbl>
    <w:p>
      <w:pPr>
        <w:spacing w:after="200"/>
      </w:pPr>
      <w:r>
        <w:rPr>
          <w:rFonts w:ascii="Arial" w:cs="Arial" w:eastAsia="Arial" w:hAnsi="Arial"/>
          <w:color w:val="22303C"/>
          <w:sz w:val="8"/>
          <w:szCs w:val="8"/>
        </w:rPr>
        <w:t xml:space="preserve"> </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8E0E8" w:sz="2"/>
              <w:left w:val="single" w:color="C49A3C" w:sz="24"/>
              <w:bottom w:val="single" w:color="D8E0E8" w:sz="2"/>
              <w:right w:val="single" w:color="D8E0E8" w:sz="2"/>
            </w:tcBorders>
            <w:shd w:fill="FBF6EC" w:val="clear"/>
            <w:tcMar>
              <w:top w:type="dxa" w:w="140"/>
              <w:left w:type="dxa" w:w="180"/>
              <w:bottom w:type="dxa" w:w="140"/>
              <w:right w:type="dxa" w:w="180"/>
            </w:tcMar>
          </w:tcPr>
          <w:p>
            <w:pPr>
              <w:spacing w:after="140"/>
            </w:pPr>
            <w:r>
              <w:rPr>
                <w:rFonts w:ascii="Arial" w:cs="Arial" w:eastAsia="Arial" w:hAnsi="Arial"/>
                <w:b/>
                <w:bCs/>
                <w:color w:val="1B3A52"/>
                <w:sz w:val="28"/>
                <w:szCs w:val="28"/>
              </w:rPr>
              <w:t xml:space="preserve">Need help applying this to a real workplace decision?</w:t>
            </w:r>
          </w:p>
          <w:p>
            <w:pPr>
              <w:spacing w:after="120" w:line="300"/>
            </w:pPr>
            <w:r>
              <w:rPr>
                <w:rFonts w:ascii="Arial" w:cs="Arial" w:eastAsia="Arial" w:hAnsi="Arial"/>
                <w:color w:val="22303C"/>
                <w:sz w:val="21"/>
                <w:szCs w:val="21"/>
              </w:rPr>
              <w:t xml:space="preserve">Faulkner HR Solutions helps Texas employers, nonprofits, municipalities, and growing businesses fix the people systems behind recurring workplace problems.</w:t>
            </w:r>
          </w:p>
          <w:p>
            <w:pPr>
              <w:spacing w:after="160" w:line="300"/>
            </w:pPr>
            <w:r>
              <w:rPr>
                <w:rFonts w:ascii="Arial" w:cs="Arial" w:eastAsia="Arial" w:hAnsi="Arial"/>
                <w:b/>
                <w:bCs/>
                <w:color w:val="22303C"/>
                <w:sz w:val="21"/>
                <w:szCs w:val="21"/>
              </w:rPr>
              <w:t xml:space="preserve">If this document raised a risk flag, do not guess your way through the next step.</w:t>
            </w:r>
          </w:p>
          <w:p>
            <w:pPr>
              <w:spacing w:after="60"/>
            </w:pPr>
            <w:r>
              <w:rPr>
                <w:rFonts w:ascii="Arial" w:cs="Arial" w:eastAsia="Arial" w:hAnsi="Arial"/>
                <w:b/>
                <w:bCs/>
                <w:color w:val="1B3A52"/>
                <w:sz w:val="21"/>
                <w:szCs w:val="21"/>
              </w:rPr>
              <w:t xml:space="preserve">Call:  </w:t>
            </w:r>
            <w:r>
              <w:rPr>
                <w:rFonts w:ascii="Arial" w:cs="Arial" w:eastAsia="Arial" w:hAnsi="Arial"/>
                <w:b/>
                <w:bCs/>
                <w:color w:val="1B3A52"/>
                <w:sz w:val="24"/>
                <w:szCs w:val="24"/>
              </w:rPr>
              <w:t xml:space="preserve">210.446.8730</w:t>
            </w:r>
          </w:p>
          <w:p>
            <w:pPr>
              <w:spacing w:after="60"/>
            </w:pPr>
            <w:r>
              <w:rPr>
                <w:rFonts w:ascii="Arial" w:cs="Arial" w:eastAsia="Arial" w:hAnsi="Arial"/>
                <w:b/>
                <w:bCs/>
                <w:color w:val="1B3A52"/>
                <w:sz w:val="21"/>
                <w:szCs w:val="21"/>
              </w:rPr>
              <w:t xml:space="preserve">Email:  </w:t>
            </w:r>
            <w:r>
              <w:rPr>
                <w:rFonts w:ascii="Arial" w:cs="Arial" w:eastAsia="Arial" w:hAnsi="Arial"/>
                <w:color w:val="22303C"/>
                <w:sz w:val="22"/>
                <w:szCs w:val="22"/>
              </w:rPr>
              <w:t xml:space="preserve">thomas@faulknerhrsolutions.info</w:t>
            </w:r>
          </w:p>
          <w:p>
            <w:pPr>
              <w:spacing w:after="0"/>
            </w:pPr>
            <w:r>
              <w:rPr>
                <w:rFonts w:ascii="Arial" w:cs="Arial" w:eastAsia="Arial" w:hAnsi="Arial"/>
                <w:b/>
                <w:bCs/>
                <w:color w:val="1B3A52"/>
                <w:sz w:val="21"/>
                <w:szCs w:val="21"/>
              </w:rPr>
              <w:t xml:space="preserve">Website:  </w:t>
            </w:r>
            <w:r>
              <w:rPr>
                <w:rFonts w:ascii="Arial" w:cs="Arial" w:eastAsia="Arial" w:hAnsi="Arial"/>
                <w:color w:val="22303C"/>
                <w:sz w:val="22"/>
                <w:szCs w:val="22"/>
              </w:rPr>
              <w:t xml:space="preserve">faulknerhrsolutions.info</w:t>
            </w:r>
          </w:p>
        </w:tc>
      </w:tr>
    </w:tbl>
    <w:p>
      <w:pPr>
        <w:spacing w:after="100" w:before="300"/>
      </w:pPr>
      <w:r>
        <w:rPr>
          <w:rFonts w:ascii="Arial" w:cs="Arial" w:eastAsia="Arial" w:hAnsi="Arial"/>
          <w:b/>
          <w:bCs/>
          <w:color w:val="4A5A6A"/>
          <w:spacing w:val="20"/>
          <w:sz w:val="18"/>
          <w:szCs w:val="18"/>
        </w:rPr>
        <w:t xml:space="preserve">DISCLAIMER</w:t>
      </w:r>
    </w:p>
    <w:p>
      <w:pPr>
        <w:spacing w:after="0" w:line="276"/>
      </w:pPr>
      <w:r>
        <w:rPr>
          <w:rFonts w:ascii="Arial" w:cs="Arial" w:eastAsia="Arial" w:hAnsi="Arial"/>
          <w:color w:val="4A5A6A"/>
          <w:sz w:val="18"/>
          <w:szCs w:val="18"/>
        </w:rPr>
        <w:t xml:space="preserve">This resource is provided for general employer education and planning purposes. It is not legal advice and does not create an attorney-client relationship. Employment laws, agency guidance, and local requirements may change. Employers should review the facts of each situation before acting and consult appropriate HR or legal counsel when needed.</w:t>
      </w:r>
    </w:p>
    <w:sectPr>
      <w:headerReference w:type="default" r:id="rId7"/>
      <w:footerReference w:type="default" r:id="rId8"/>
      <w:pgSz w:w="12240" w:h="15840" w:orient="portrait"/>
      <w:pgMar w:top="1280" w:right="1080" w:bottom="11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D8E0E8" w:sz="4" w:space="4"/>
      </w:pBdr>
      <w:spacing w:after="0" w:before="80"/>
      <w:jc w:val="center"/>
    </w:pPr>
    <w:r>
      <w:rPr>
        <w:rFonts w:ascii="Arial" w:cs="Arial" w:eastAsia="Arial" w:hAnsi="Arial"/>
        <w:color w:val="4A5A6A"/>
        <w:sz w:val="14"/>
        <w:szCs w:val="14"/>
      </w:rPr>
      <w:t xml:space="preserve">Faulkner HR Solutions | Critical Vacancy Risk | Version 2026.1 | 210.446.8730 | thomas@faulknerhrsolutions.info | faulknerhrsolutions.info/resources/critical-vacancy-risk-worksheet/ | Page </w:t>
    </w:r>
    <w:r>
      <w:rPr>
        <w:rFonts w:ascii="Arial" w:cs="Arial" w:eastAsia="Arial" w:hAnsi="Arial"/>
        <w:color w:val="4A5A6A"/>
        <w:sz w:val="14"/>
        <w:szCs w:val="14"/>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1B3A52" w:sz="10" w:space="4"/>
      </w:pBdr>
      <w:tabs>
        <w:tab w:val="right" w:pos="10080"/>
      </w:tabs>
      <w:spacing w:after="120"/>
    </w:pPr>
    <w:r>
      <w:drawing>
        <wp:inline distT="0" distB="0" distL="0" distR="0">
          <wp:extent cx="247650" cy="247650"/>
          <wp:effectExtent t="0" r="0" b="0" l="0"/>
          <wp:docPr id="1" name="FHRS logo" descr="Faulkner HR Solutions logo" title="Faulkner HR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247650" cy="247650"/>
                  </a:xfrm>
                  <a:prstGeom prst="rect">
                    <a:avLst/>
                  </a:prstGeom>
                </pic:spPr>
              </pic:pic>
            </a:graphicData>
          </a:graphic>
        </wp:inline>
      </w:drawing>
    </w:r>
    <w:r>
      <w:rPr>
        <w:rFonts w:ascii="Arial" w:cs="Arial" w:eastAsia="Arial" w:hAnsi="Arial"/>
        <w:b/>
        <w:bCs/>
        <w:color w:val="1B3A52"/>
        <w:spacing w:val="20"/>
        <w:sz w:val="19"/>
        <w:szCs w:val="19"/>
      </w:rPr>
      <w:t xml:space="preserve">  FAULKNER HR SOLUTIONS</w:t>
    </w:r>
    <w:r>
      <w:rPr>
        <w:rFonts w:ascii="Arial" w:cs="Arial" w:eastAsia="Arial" w:hAnsi="Arial"/>
        <w:b/>
        <w:bCs/>
        <w:color w:val="C49A3C"/>
        <w:spacing w:val="30"/>
        <w:sz w:val="18"/>
        <w:szCs w:val="18"/>
      </w:rPr>
      <w:t xml:space="preserve">	MUNICIPAL HR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460" w:hanging="260"/>
      </w:pPr>
    </w:lvl>
  </w:abstractNum>
  <w:abstractNum w:abstractNumId="3" w15:restartNumberingAfterBreak="0">
    <w:multiLevelType w:val="hybridMultilevel"/>
    <w:lvl w:ilvl="0" w15:tentative="1">
      <w:start w:val="1"/>
      <w:numFmt w:val="decimal"/>
      <w:lvlText w:val="%1."/>
      <w:lvlJc w:val="left"/>
      <w:pPr>
        <w:ind w:left="460" w:hanging="30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22303C"/>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Relationship Id="rId0" Type="http://schemas.openxmlformats.org/officeDocument/2006/relationships/image" Target="media/62637c615e06f591d83d3816096da2235005184f.pn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Vacancy Risk Worksheet</dc:title>
  <dc:creator>Faulkner HR Solutions</dc:creator>
  <dc:description>Price what the empty chair actually costs — service impact, overtime, compliance, safety — and turn it into a decision.</dc:description>
  <cp:lastModifiedBy>Un-named</cp:lastModifiedBy>
  <cp:revision>1</cp:revision>
  <dcterms:created xsi:type="dcterms:W3CDTF">2026-07-04T08:16:06.758Z</dcterms:created>
  <dcterms:modified xsi:type="dcterms:W3CDTF">2026-07-04T08:16:06.758Z</dcterms:modified>
</cp:coreProperties>
</file>

<file path=docProps/custom.xml><?xml version="1.0" encoding="utf-8"?>
<Properties xmlns="http://schemas.openxmlformats.org/officeDocument/2006/custom-properties" xmlns:vt="http://schemas.openxmlformats.org/officeDocument/2006/docPropsVTypes"/>
</file>