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60"/>
      </w:pPr>
      <w:r>
        <w:rPr>
          <w:rFonts w:ascii="Arial" w:cs="Arial" w:eastAsia="Arial" w:hAnsi="Arial"/>
          <w:b/>
          <w:bCs/>
          <w:color w:val="C49A3C"/>
          <w:spacing w:val="30"/>
          <w:sz w:val="17"/>
          <w:szCs w:val="17"/>
        </w:rPr>
        <w:t xml:space="preserve">DECISION MEMO TEMPLATE  |  JURISDICTION: MUNICIPAL / PUBLIC SECTOR  |  VERSION 2026.1</w:t>
      </w:r>
    </w:p>
    <w:p>
      <w:pPr>
        <w:spacing w:after="120"/>
      </w:pPr>
      <w:r>
        <w:rPr>
          <w:rFonts w:ascii="Arial" w:cs="Arial" w:eastAsia="Arial" w:hAnsi="Arial"/>
          <w:b/>
          <w:bCs/>
          <w:color w:val="1B3A52"/>
          <w:sz w:val="44"/>
          <w:szCs w:val="44"/>
        </w:rPr>
        <w:t xml:space="preserve">City Council / Board HR Decision Memo Template</w:t>
      </w:r>
    </w:p>
    <w:p>
      <w:pPr>
        <w:spacing w:after="200" w:line="300"/>
      </w:pPr>
      <w:r>
        <w:rPr>
          <w:rFonts w:ascii="Arial" w:cs="Arial" w:eastAsia="Arial" w:hAnsi="Arial"/>
          <w:i/>
          <w:iCs/>
          <w:color w:val="4A5A6A"/>
          <w:sz w:val="22"/>
          <w:szCs w:val="22"/>
        </w:rPr>
        <w:t xml:space="preserve">Put HR decisions in front of council or board the right way: issue, recommendation, fiscal impact, risk, alternatives, and the ask.</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60"/>
            </w:pPr>
            <w:r>
              <w:rPr>
                <w:rFonts w:ascii="Arial" w:cs="Arial" w:eastAsia="Arial" w:hAnsi="Arial"/>
                <w:b/>
                <w:bCs/>
                <w:color w:val="C49A3C"/>
                <w:spacing w:val="30"/>
                <w:sz w:val="17"/>
                <w:szCs w:val="17"/>
              </w:rPr>
              <w:t xml:space="preserve">WHAT THIS HELPS YOU DO</w:t>
            </w:r>
          </w:p>
          <w:p>
            <w:pPr>
              <w:spacing w:after="0" w:line="300"/>
            </w:pPr>
            <w:r>
              <w:rPr>
                <w:rFonts w:ascii="Arial" w:cs="Arial" w:eastAsia="Arial" w:hAnsi="Arial"/>
                <w:color w:val="22303C"/>
                <w:sz w:val="22"/>
                <w:szCs w:val="22"/>
              </w:rPr>
              <w:t xml:space="preserve">Use this memo template to brief a council or board on any HR decision that needs their approval or awareness — so the decision is framed by staff analysis instead of dais improvisation.</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WHEN TO USE THIS DOCUMENT</w:t>
      </w:r>
    </w:p>
    <w:p>
      <w:pPr>
        <w:pStyle w:val="ListParagraph"/>
        <w:numPr>
          <w:ilvl w:val="0"/>
          <w:numId w:val="2"/>
        </w:numPr>
        <w:spacing w:after="80" w:line="288"/>
      </w:pPr>
      <w:r>
        <w:rPr>
          <w:rFonts w:ascii="Arial" w:cs="Arial" w:eastAsia="Arial" w:hAnsi="Arial"/>
          <w:color w:val="22303C"/>
          <w:sz w:val="21"/>
          <w:szCs w:val="21"/>
        </w:rPr>
        <w:t xml:space="preserve">Before any HR item appears on a council or board agenda</w:t>
      </w:r>
    </w:p>
    <w:p>
      <w:pPr>
        <w:pStyle w:val="ListParagraph"/>
        <w:numPr>
          <w:ilvl w:val="0"/>
          <w:numId w:val="2"/>
        </w:numPr>
        <w:spacing w:after="80" w:line="288"/>
      </w:pPr>
      <w:r>
        <w:rPr>
          <w:rFonts w:ascii="Arial" w:cs="Arial" w:eastAsia="Arial" w:hAnsi="Arial"/>
          <w:color w:val="22303C"/>
          <w:sz w:val="21"/>
          <w:szCs w:val="21"/>
        </w:rPr>
        <w:t xml:space="preserve">When requesting positions, reclassifications, or pay plan changes</w:t>
      </w:r>
    </w:p>
    <w:p>
      <w:pPr>
        <w:pStyle w:val="ListParagraph"/>
        <w:numPr>
          <w:ilvl w:val="0"/>
          <w:numId w:val="2"/>
        </w:numPr>
        <w:spacing w:after="80" w:line="288"/>
      </w:pPr>
      <w:r>
        <w:rPr>
          <w:rFonts w:ascii="Arial" w:cs="Arial" w:eastAsia="Arial" w:hAnsi="Arial"/>
          <w:color w:val="22303C"/>
          <w:sz w:val="21"/>
          <w:szCs w:val="21"/>
        </w:rPr>
        <w:t xml:space="preserve">When a personnel controversy requires governing-body awareness</w:t>
      </w:r>
    </w:p>
    <w:p>
      <w:pPr>
        <w:pStyle w:val="ListParagraph"/>
        <w:numPr>
          <w:ilvl w:val="0"/>
          <w:numId w:val="2"/>
        </w:numPr>
        <w:spacing w:after="80" w:line="288"/>
      </w:pPr>
      <w:r>
        <w:rPr>
          <w:rFonts w:ascii="Arial" w:cs="Arial" w:eastAsia="Arial" w:hAnsi="Arial"/>
          <w:color w:val="22303C"/>
          <w:sz w:val="21"/>
          <w:szCs w:val="21"/>
        </w:rPr>
        <w:t xml:space="preserve">Before settlements, separations, or policy adoptions needing approval</w:t>
      </w:r>
    </w:p>
    <w:p>
      <w:pPr>
        <w:pStyle w:val="ListParagraph"/>
        <w:numPr>
          <w:ilvl w:val="0"/>
          <w:numId w:val="2"/>
        </w:numPr>
        <w:spacing w:after="80" w:line="288"/>
      </w:pPr>
      <w:r>
        <w:rPr>
          <w:rFonts w:ascii="Arial" w:cs="Arial" w:eastAsia="Arial" w:hAnsi="Arial"/>
          <w:color w:val="22303C"/>
          <w:sz w:val="21"/>
          <w:szCs w:val="21"/>
        </w:rPr>
        <w:t xml:space="preserve">When a department head wants council to 'just handle it'</w:t>
      </w:r>
    </w:p>
    <w:p>
      <w:pPr>
        <w:keepNext/>
        <w:pBdr>
          <w:bottom w:val="single" w:color="C49A3C" w:sz="8" w:space="3"/>
        </w:pBdr>
        <w:spacing w:after="140" w:before="320"/>
      </w:pPr>
      <w:r>
        <w:rPr>
          <w:rFonts w:ascii="Arial" w:cs="Arial" w:eastAsia="Arial" w:hAnsi="Arial"/>
          <w:b/>
          <w:bCs/>
          <w:color w:val="1B3A52"/>
          <w:spacing w:val="20"/>
          <w:sz w:val="24"/>
          <w:szCs w:val="24"/>
        </w:rPr>
        <w:t xml:space="preserve">WHAT THIS DOCUMENT HELPS PREVENT</w:t>
      </w:r>
    </w:p>
    <w:p>
      <w:pPr>
        <w:pStyle w:val="ListParagraph"/>
        <w:numPr>
          <w:ilvl w:val="0"/>
          <w:numId w:val="2"/>
        </w:numPr>
        <w:spacing w:after="80" w:line="288"/>
      </w:pPr>
      <w:r>
        <w:rPr>
          <w:rFonts w:ascii="Arial" w:cs="Arial" w:eastAsia="Arial" w:hAnsi="Arial"/>
          <w:color w:val="22303C"/>
          <w:sz w:val="21"/>
          <w:szCs w:val="21"/>
        </w:rPr>
        <w:t xml:space="preserve">HR decisions made live on the dais without staff analysis</w:t>
      </w:r>
    </w:p>
    <w:p>
      <w:pPr>
        <w:pStyle w:val="ListParagraph"/>
        <w:numPr>
          <w:ilvl w:val="0"/>
          <w:numId w:val="2"/>
        </w:numPr>
        <w:spacing w:after="80" w:line="288"/>
      </w:pPr>
      <w:r>
        <w:rPr>
          <w:rFonts w:ascii="Arial" w:cs="Arial" w:eastAsia="Arial" w:hAnsi="Arial"/>
          <w:color w:val="22303C"/>
          <w:sz w:val="21"/>
          <w:szCs w:val="21"/>
        </w:rPr>
        <w:t xml:space="preserve">Council surprise — the most expensive emotion in public HR</w:t>
      </w:r>
    </w:p>
    <w:p>
      <w:pPr>
        <w:pStyle w:val="ListParagraph"/>
        <w:numPr>
          <w:ilvl w:val="0"/>
          <w:numId w:val="2"/>
        </w:numPr>
        <w:spacing w:after="80" w:line="288"/>
      </w:pPr>
      <w:r>
        <w:rPr>
          <w:rFonts w:ascii="Arial" w:cs="Arial" w:eastAsia="Arial" w:hAnsi="Arial"/>
          <w:color w:val="22303C"/>
          <w:sz w:val="21"/>
          <w:szCs w:val="21"/>
        </w:rPr>
        <w:t xml:space="preserve">Fiscal impacts discovered after the vote</w:t>
      </w:r>
    </w:p>
    <w:p>
      <w:pPr>
        <w:pStyle w:val="ListParagraph"/>
        <w:numPr>
          <w:ilvl w:val="0"/>
          <w:numId w:val="2"/>
        </w:numPr>
        <w:spacing w:after="80" w:line="288"/>
      </w:pPr>
      <w:r>
        <w:rPr>
          <w:rFonts w:ascii="Arial" w:cs="Arial" w:eastAsia="Arial" w:hAnsi="Arial"/>
          <w:color w:val="22303C"/>
          <w:sz w:val="21"/>
          <w:szCs w:val="21"/>
        </w:rPr>
        <w:t xml:space="preserve">Legal risk discussed in open session when it belonged in executive session</w:t>
      </w:r>
    </w:p>
    <w:p>
      <w:pPr>
        <w:pStyle w:val="ListParagraph"/>
        <w:numPr>
          <w:ilvl w:val="0"/>
          <w:numId w:val="2"/>
        </w:numPr>
        <w:spacing w:after="80" w:line="288"/>
      </w:pPr>
      <w:r>
        <w:rPr>
          <w:rFonts w:ascii="Arial" w:cs="Arial" w:eastAsia="Arial" w:hAnsi="Arial"/>
          <w:color w:val="22303C"/>
          <w:sz w:val="21"/>
          <w:szCs w:val="21"/>
        </w:rPr>
        <w:t xml:space="preserve">Decisions with no record of what was recommended and why</w:t>
      </w:r>
    </w:p>
    <w:p>
      <w:pPr>
        <w:spacing w:after="0" w:before="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C49A3C" w:sz="24"/>
              <w:bottom w:val="single" w:color="D8E0E8" w:sz="2"/>
              <w:right w:val="single" w:color="D8E0E8" w:sz="2"/>
            </w:tcBorders>
            <w:shd w:fill="FBF6EC" w:val="clear"/>
            <w:tcMar>
              <w:top w:type="dxa" w:w="140"/>
              <w:left w:type="dxa" w:w="180"/>
              <w:bottom w:type="dxa" w:w="140"/>
              <w:right w:type="dxa" w:w="180"/>
            </w:tcMar>
          </w:tcPr>
          <w:p>
            <w:pPr>
              <w:spacing w:after="0" w:line="300"/>
            </w:pPr>
            <w:r>
              <w:rPr>
                <w:rFonts w:ascii="Arial" w:cs="Arial" w:eastAsia="Arial" w:hAnsi="Arial"/>
                <w:i/>
                <w:iCs/>
                <w:color w:val="1B3A52"/>
                <w:sz w:val="21"/>
                <w:szCs w:val="21"/>
              </w:rPr>
              <w:t xml:space="preserve">Faulkner HR Solutions focuses on the system behind the people problem. This tool is designed to help employers slow down the decision, identify the risk, and create proof before the issue becomes a claim, complaint, turnover event, or credibility problem.</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BEFORE YOU START: READINESS CHECKLIST</w:t>
      </w:r>
    </w:p>
    <w:p>
      <w:pPr>
        <w:spacing w:after="140" w:line="288"/>
      </w:pPr>
      <w:r>
        <w:rPr>
          <w:rFonts w:ascii="Arial" w:cs="Arial" w:eastAsia="Arial" w:hAnsi="Arial"/>
          <w:color w:val="4A5A6A"/>
          <w:sz w:val="20"/>
          <w:szCs w:val="20"/>
        </w:rPr>
        <w:t xml:space="preserve">Gather the following before working through this document. Incomplete inputs are one of the most common reasons employer decisions fail under later scrutiny.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Have it</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Input</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Notes / location</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Employee name and role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Date of incident, request, or separation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Supervisor involved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Policy or handbook section that applies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Prior documentation on file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 records, if applicable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Relevant emails, texts, notes, or complaints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Decision-maker name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Deadline, if applicable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pageBreakBefore/>
        <w:spacing w:after="40"/>
      </w:pPr>
      <w:r>
        <w:rPr>
          <w:rFonts w:ascii="Arial" w:cs="Arial" w:eastAsia="Arial" w:hAnsi="Arial"/>
          <w:color w:val="22303C"/>
          <w:sz w:val="8"/>
          <w:szCs w:val="8"/>
        </w:rPr>
        <w:t xml:space="preserve"> </w:t>
      </w:r>
    </w:p>
    <w:p>
      <w:pPr>
        <w:keepNext/>
        <w:pBdr>
          <w:bottom w:val="single" w:color="C49A3C" w:sz="8" w:space="3"/>
        </w:pBdr>
        <w:spacing w:after="140" w:before="320"/>
      </w:pPr>
      <w:r>
        <w:rPr>
          <w:rFonts w:ascii="Arial" w:cs="Arial" w:eastAsia="Arial" w:hAnsi="Arial"/>
          <w:b/>
          <w:bCs/>
          <w:color w:val="1B3A52"/>
          <w:spacing w:val="20"/>
          <w:sz w:val="24"/>
          <w:szCs w:val="24"/>
        </w:rPr>
        <w:t xml:space="preserve">DECISION MEMO TEMPLATE</w:t>
      </w:r>
    </w:p>
    <w:p>
      <w:pPr>
        <w:spacing w:after="160" w:line="288"/>
      </w:pPr>
      <w:r>
        <w:rPr>
          <w:rFonts w:ascii="Arial" w:cs="Arial" w:eastAsia="Arial" w:hAnsi="Arial"/>
          <w:color w:val="4A5A6A"/>
          <w:sz w:val="20"/>
          <w:szCs w:val="20"/>
        </w:rPr>
        <w:t xml:space="preserve">One page if possible, two at most. Council decisions improve in direct proportion to how clearly staff frames the issue, the cost, the risk, and the specific action requested.</w:t>
      </w:r>
    </w:p>
    <w:p>
      <w:pPr>
        <w:keepNext/>
        <w:spacing w:after="100" w:before="220"/>
      </w:pPr>
      <w:r>
        <w:rPr>
          <w:rFonts w:ascii="Arial" w:cs="Arial" w:eastAsia="Arial" w:hAnsi="Arial"/>
          <w:b/>
          <w:bCs/>
          <w:color w:val="1B3A52"/>
          <w:sz w:val="22"/>
          <w:szCs w:val="22"/>
        </w:rPr>
        <w:t xml:space="preserve">Memo Header</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427"/>
        <w:gridCol w:w="6653"/>
      </w:tblGrid>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To (council / board) and meeting date</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From (title) and department</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Agenda item type (action / discussion / executive session / consent)</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Subject (one line, specific)</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1 — Issue Summary</w:t>
      </w:r>
    </w:p>
    <w:p>
      <w:pPr>
        <w:spacing w:after="120" w:line="288"/>
      </w:pPr>
      <w:r>
        <w:rPr>
          <w:rFonts w:ascii="Arial" w:cs="Arial" w:eastAsia="Arial" w:hAnsi="Arial"/>
          <w:color w:val="4A5A6A"/>
          <w:sz w:val="20"/>
          <w:szCs w:val="20"/>
        </w:rPr>
        <w:t xml:space="preserve">Three to five sentences: what is happening, why it requires the governing body, and by when. No adjectives, no history lesson.</w:t>
      </w:r>
    </w:p>
    <w:p>
      <w:pPr>
        <w:pBdr>
          <w:bottom w:val="single" w:color="4A5A6A" w:sz="4" w:space="1"/>
        </w:pBdr>
        <w:spacing w:after="0" w:before="220"/>
      </w:pPr>
      <w:r>
        <w:rPr>
          <w:rFonts w:ascii="Arial" w:cs="Arial" w:eastAsia="Arial" w:hAnsi="Arial"/>
          <w:color w:val="22303C"/>
          <w:sz w:val="20"/>
          <w:szCs w:val="20"/>
        </w:rPr>
        <w:t xml:space="preserve"> </w:t>
      </w:r>
    </w:p>
    <w:p>
      <w:pPr>
        <w:pBdr>
          <w:bottom w:val="single" w:color="4A5A6A" w:sz="4" w:space="1"/>
        </w:pBdr>
        <w:spacing w:after="0" w:before="220"/>
      </w:pPr>
      <w:r>
        <w:rPr>
          <w:rFonts w:ascii="Arial" w:cs="Arial" w:eastAsia="Arial" w:hAnsi="Arial"/>
          <w:color w:val="22303C"/>
          <w:sz w:val="20"/>
          <w:szCs w:val="20"/>
        </w:rPr>
        <w:t xml:space="preserve"> </w:t>
      </w:r>
    </w:p>
    <w:p>
      <w:pPr>
        <w:pBdr>
          <w:bottom w:val="single" w:color="4A5A6A" w:sz="4" w:space="1"/>
        </w:pBdr>
        <w:spacing w:after="0" w:before="220"/>
      </w:pPr>
      <w:r>
        <w:rPr>
          <w:rFonts w:ascii="Arial" w:cs="Arial" w:eastAsia="Arial" w:hAnsi="Arial"/>
          <w:color w:val="22303C"/>
          <w:sz w:val="20"/>
          <w:szCs w:val="20"/>
        </w:rPr>
        <w:t xml:space="preserve"> </w:t>
      </w:r>
    </w:p>
    <w:p>
      <w:pPr>
        <w:pBdr>
          <w:bottom w:val="single" w:color="4A5A6A" w:sz="4" w:space="1"/>
        </w:pBdr>
        <w:spacing w:after="0" w:before="220"/>
      </w:pPr>
      <w:r>
        <w:rPr>
          <w:rFonts w:ascii="Arial" w:cs="Arial" w:eastAsia="Arial" w:hAnsi="Arial"/>
          <w:color w:val="22303C"/>
          <w:sz w:val="20"/>
          <w:szCs w:val="20"/>
        </w:rPr>
        <w:t xml:space="preserve"> </w:t>
      </w:r>
    </w:p>
    <w:p>
      <w:pPr>
        <w:pBdr>
          <w:bottom w:val="single" w:color="4A5A6A" w:sz="4" w:space="1"/>
        </w:pBdr>
        <w:spacing w:after="0" w:before="220"/>
      </w:pPr>
      <w:r>
        <w:rPr>
          <w:rFonts w:ascii="Arial" w:cs="Arial" w:eastAsia="Arial" w:hAnsi="Arial"/>
          <w:color w:val="22303C"/>
          <w:sz w:val="20"/>
          <w:szCs w:val="20"/>
        </w:rPr>
        <w:t xml:space="preserve"> </w:t>
      </w:r>
    </w:p>
    <w:p>
      <w:pPr>
        <w:spacing w:after="120"/>
      </w:pPr>
      <w:r>
        <w:rPr>
          <w:rFonts w:ascii="Arial" w:cs="Arial" w:eastAsia="Arial" w:hAnsi="Arial"/>
          <w:color w:val="22303C"/>
          <w:sz w:val="8"/>
          <w:szCs w:val="8"/>
        </w:rPr>
        <w:t xml:space="preserve"> </w:t>
      </w:r>
    </w:p>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2 — Recommendation</w:t>
      </w:r>
    </w:p>
    <w:p>
      <w:pPr>
        <w:spacing w:after="120" w:line="288"/>
      </w:pPr>
      <w:r>
        <w:rPr>
          <w:rFonts w:ascii="Arial" w:cs="Arial" w:eastAsia="Arial" w:hAnsi="Arial"/>
          <w:color w:val="4A5A6A"/>
          <w:sz w:val="20"/>
          <w:szCs w:val="20"/>
        </w:rPr>
        <w:t xml:space="preserve">State the recommended action as a motion someone could read aloud. If staff cannot recommend, say what analysis is missing.</w:t>
      </w:r>
    </w:p>
    <w:p>
      <w:pPr>
        <w:pBdr>
          <w:bottom w:val="single" w:color="4A5A6A" w:sz="4" w:space="1"/>
        </w:pBdr>
        <w:spacing w:after="0" w:before="220"/>
      </w:pPr>
      <w:r>
        <w:rPr>
          <w:rFonts w:ascii="Arial" w:cs="Arial" w:eastAsia="Arial" w:hAnsi="Arial"/>
          <w:color w:val="22303C"/>
          <w:sz w:val="20"/>
          <w:szCs w:val="20"/>
        </w:rPr>
        <w:t xml:space="preserve"> </w:t>
      </w:r>
    </w:p>
    <w:p>
      <w:pPr>
        <w:pBdr>
          <w:bottom w:val="single" w:color="4A5A6A" w:sz="4" w:space="1"/>
        </w:pBdr>
        <w:spacing w:after="0" w:before="220"/>
      </w:pPr>
      <w:r>
        <w:rPr>
          <w:rFonts w:ascii="Arial" w:cs="Arial" w:eastAsia="Arial" w:hAnsi="Arial"/>
          <w:color w:val="22303C"/>
          <w:sz w:val="20"/>
          <w:szCs w:val="20"/>
        </w:rPr>
        <w:t xml:space="preserve"> </w:t>
      </w:r>
    </w:p>
    <w:p>
      <w:pPr>
        <w:pBdr>
          <w:bottom w:val="single" w:color="4A5A6A" w:sz="4" w:space="1"/>
        </w:pBdr>
        <w:spacing w:after="0" w:before="220"/>
      </w:pPr>
      <w:r>
        <w:rPr>
          <w:rFonts w:ascii="Arial" w:cs="Arial" w:eastAsia="Arial" w:hAnsi="Arial"/>
          <w:color w:val="22303C"/>
          <w:sz w:val="20"/>
          <w:szCs w:val="20"/>
        </w:rPr>
        <w:t xml:space="preserve"> </w:t>
      </w:r>
    </w:p>
    <w:p>
      <w:pPr>
        <w:spacing w:after="120"/>
      </w:pPr>
      <w:r>
        <w:rPr>
          <w:rFonts w:ascii="Arial" w:cs="Arial" w:eastAsia="Arial" w:hAnsi="Arial"/>
          <w:color w:val="22303C"/>
          <w:sz w:val="8"/>
          <w:szCs w:val="8"/>
        </w:rPr>
        <w:t xml:space="preserve"> </w:t>
      </w:r>
    </w:p>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3 — Fiscal Impact</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427"/>
        <w:gridCol w:w="6653"/>
      </w:tblGrid>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Current fiscal year cost (and funding source / budget line)</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Annualized ongoing cost</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Cost of NOT acting (overtime, turnover, liability, service impact)</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Budget amendment required? (Y/N)</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4 — Legal and HR Risk</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Addressed</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Risk element</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Notes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Legal review obtained (who, when) or scheduled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Executive session justification identified if personnel/litigation matters (cite the exception)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Precedent effect: what does this decision commit us to for the next case?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Records/PIA posture: assume every document here is producible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Employee due process or civil service implications addressed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5 — Alternatives Considered</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024"/>
        <w:gridCol w:w="1612"/>
        <w:gridCol w:w="3427"/>
        <w:gridCol w:w="2017"/>
      </w:tblGrid>
      <w:tr>
        <w:trPr>
          <w:tblHeader/>
        </w:trPr>
        <w:tc>
          <w:tcPr>
            <w:tcW w:type="dxa" w:w="3024"/>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Alternative</w:t>
            </w:r>
          </w:p>
        </w:tc>
        <w:tc>
          <w:tcPr>
            <w:tcW w:type="dxa" w:w="161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Cost</w:t>
            </w:r>
          </w:p>
        </w:tc>
        <w:tc>
          <w:tcPr>
            <w:tcW w:type="dxa" w:w="342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Risk / trade-off</w:t>
            </w:r>
          </w:p>
        </w:tc>
        <w:tc>
          <w:tcPr>
            <w:tcW w:type="dxa" w:w="201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Why not recommended</w:t>
            </w:r>
          </w:p>
        </w:tc>
      </w:tr>
      <w:tr>
        <w:tc>
          <w:tcPr>
            <w:tcW w:type="dxa" w:w="3024"/>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Recommended option</w:t>
            </w:r>
          </w:p>
        </w:tc>
        <w:tc>
          <w:tcPr>
            <w:tcW w:type="dxa" w:w="161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342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201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t>
            </w:r>
          </w:p>
        </w:tc>
      </w:tr>
      <w:tr>
        <w:tc>
          <w:tcPr>
            <w:tcW w:type="dxa" w:w="3024"/>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Alternative A</w:t>
            </w:r>
          </w:p>
        </w:tc>
        <w:tc>
          <w:tcPr>
            <w:tcW w:type="dxa" w:w="161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342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201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024"/>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Alternative B (incl. 'do nothing')</w:t>
            </w:r>
          </w:p>
        </w:tc>
        <w:tc>
          <w:tcPr>
            <w:tcW w:type="dxa" w:w="161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342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201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6 — Decision Requested</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427"/>
        <w:gridCol w:w="6653"/>
      </w:tblGrid>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Specific motion / action requested</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Deadline and consequence of delay</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Implementation owner if approved</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Communication plan after the vote (employees, public, press if needed)</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225"/>
        <w:gridCol w:w="4636"/>
        <w:gridCol w:w="2219"/>
      </w:tblGrid>
      <w:tr>
        <w:trPr>
          <w:tblHeader/>
        </w:trPr>
        <w:tc>
          <w:tcPr>
            <w:tcW w:type="dxa" w:w="3225"/>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Role</w:t>
            </w:r>
          </w:p>
        </w:tc>
        <w:tc>
          <w:tcPr>
            <w:tcW w:type="dxa" w:w="4636"/>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Name / signature</w:t>
            </w:r>
          </w:p>
        </w:tc>
        <w:tc>
          <w:tcPr>
            <w:tcW w:type="dxa" w:w="2219"/>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Date</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Prepared by</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Reviewed by (manager/administrator)</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Legal review</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pBdr>
          <w:bottom w:val="single" w:color="C49A3C" w:sz="8" w:space="3"/>
        </w:pBdr>
        <w:spacing w:after="140" w:before="320"/>
      </w:pPr>
      <w:r>
        <w:rPr>
          <w:rFonts w:ascii="Arial" w:cs="Arial" w:eastAsia="Arial" w:hAnsi="Arial"/>
          <w:b/>
          <w:bCs/>
          <w:color w:val="1B3A52"/>
          <w:spacing w:val="20"/>
          <w:sz w:val="24"/>
          <w:szCs w:val="24"/>
        </w:rPr>
        <w:t xml:space="preserve">STOP AND REVIEW BEFORE ACTING</w:t>
      </w:r>
    </w:p>
    <w:p>
      <w:pPr>
        <w:spacing w:after="140" w:line="288"/>
      </w:pPr>
      <w:r>
        <w:rPr>
          <w:rFonts w:ascii="Arial" w:cs="Arial" w:eastAsia="Arial" w:hAnsi="Arial"/>
          <w:color w:val="4A5A6A"/>
          <w:sz w:val="20"/>
          <w:szCs w:val="20"/>
        </w:rPr>
        <w:t xml:space="preserve">If any statement below is true, pause. Get the decision reviewed by HR, counsel, or Faulkner HR Solutions before you act.</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B33A3A" w:sz="24"/>
              <w:bottom w:val="single" w:color="D8E0E8" w:sz="2"/>
              <w:right w:val="single" w:color="D8E0E8" w:sz="2"/>
            </w:tcBorders>
            <w:shd w:fill="FBF1F1" w:val="clear"/>
            <w:tcMar>
              <w:top w:type="dxa" w:w="140"/>
              <w:left w:type="dxa" w:w="180"/>
              <w:bottom w:type="dxa" w:w="140"/>
              <w:right w:type="dxa" w:w="180"/>
            </w:tcMar>
          </w:tcPr>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item involves a named employee and is headed for open session without legal review.</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Council is being asked to decide something the charter delegates to the manager.</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fiscal impact line says 'minimal' with no number.</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memo argues one option instead of presenting alternatives honestly.</w:t>
            </w:r>
          </w:p>
          <w:p>
            <w:pPr>
              <w:spacing w:after="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A settlement or separation is on the agenda with no precedent analysis.</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MINIMUM DOCUMENTATION STANDARD</w:t>
      </w:r>
    </w:p>
    <w:p>
      <w:pPr>
        <w:spacing w:after="140" w:line="288"/>
      </w:pPr>
      <w:r>
        <w:rPr>
          <w:rFonts w:ascii="Arial" w:cs="Arial" w:eastAsia="Arial" w:hAnsi="Arial"/>
          <w:color w:val="4A5A6A"/>
          <w:sz w:val="20"/>
          <w:szCs w:val="20"/>
        </w:rPr>
        <w:t xml:space="preserve">Before this file is closed, the employer should be able to answer every question below and point to where the proof lives.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4233"/>
        <w:gridCol w:w="5847"/>
      </w:tblGrid>
      <w:tr>
        <w:trPr>
          <w:tblHeader/>
        </w:trPr>
        <w:tc>
          <w:tcPr>
            <w:tcW w:type="dxa" w:w="4233"/>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Question</w:t>
            </w:r>
          </w:p>
        </w:tc>
        <w:tc>
          <w:tcPr>
            <w:tcW w:type="dxa" w:w="584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Your answer / where the proof is stored</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happened?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When did it happen?</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Who observed or reported it?</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policy, standard, deadline, or expectation applies?</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decision was made?</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Who had authority to make the decision?</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alternatives were considered?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risk was reviewed?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follow-up is required?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Where is the proof stored?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COMMON MISTAKES</w:t>
      </w:r>
    </w:p>
    <w:p>
      <w:pPr>
        <w:pStyle w:val="ListParagraph"/>
        <w:numPr>
          <w:ilvl w:val="0"/>
          <w:numId w:val="3"/>
        </w:numPr>
        <w:spacing w:after="90" w:line="288"/>
      </w:pPr>
      <w:r>
        <w:rPr>
          <w:rFonts w:ascii="Arial" w:cs="Arial" w:eastAsia="Arial" w:hAnsi="Arial"/>
          <w:color w:val="22303C"/>
          <w:sz w:val="21"/>
          <w:szCs w:val="21"/>
        </w:rPr>
        <w:t xml:space="preserve">Bringing council a problem instead of a recommendation with alternatives.</w:t>
      </w:r>
    </w:p>
    <w:p>
      <w:pPr>
        <w:pStyle w:val="ListParagraph"/>
        <w:numPr>
          <w:ilvl w:val="0"/>
          <w:numId w:val="3"/>
        </w:numPr>
        <w:spacing w:after="90" w:line="288"/>
      </w:pPr>
      <w:r>
        <w:rPr>
          <w:rFonts w:ascii="Arial" w:cs="Arial" w:eastAsia="Arial" w:hAnsi="Arial"/>
          <w:color w:val="22303C"/>
          <w:sz w:val="21"/>
          <w:szCs w:val="21"/>
        </w:rPr>
        <w:t xml:space="preserve">Discovering the fiscal note during the meeting.</w:t>
      </w:r>
    </w:p>
    <w:p>
      <w:pPr>
        <w:pStyle w:val="ListParagraph"/>
        <w:numPr>
          <w:ilvl w:val="0"/>
          <w:numId w:val="3"/>
        </w:numPr>
        <w:spacing w:after="90" w:line="288"/>
      </w:pPr>
      <w:r>
        <w:rPr>
          <w:rFonts w:ascii="Arial" w:cs="Arial" w:eastAsia="Arial" w:hAnsi="Arial"/>
          <w:color w:val="22303C"/>
          <w:sz w:val="21"/>
          <w:szCs w:val="21"/>
        </w:rPr>
        <w:t xml:space="preserve">Naming employees and airing discipline details in open session.</w:t>
      </w:r>
    </w:p>
    <w:p>
      <w:pPr>
        <w:pStyle w:val="ListParagraph"/>
        <w:numPr>
          <w:ilvl w:val="0"/>
          <w:numId w:val="3"/>
        </w:numPr>
        <w:spacing w:after="90" w:line="288"/>
      </w:pPr>
      <w:r>
        <w:rPr>
          <w:rFonts w:ascii="Arial" w:cs="Arial" w:eastAsia="Arial" w:hAnsi="Arial"/>
          <w:color w:val="22303C"/>
          <w:sz w:val="21"/>
          <w:szCs w:val="21"/>
        </w:rPr>
        <w:t xml:space="preserve">Writing memos that assume the reader knows the backstory — new members don't.</w:t>
      </w:r>
    </w:p>
    <w:p>
      <w:pPr>
        <w:pStyle w:val="ListParagraph"/>
        <w:numPr>
          <w:ilvl w:val="0"/>
          <w:numId w:val="3"/>
        </w:numPr>
        <w:spacing w:after="90" w:line="288"/>
      </w:pPr>
      <w:r>
        <w:rPr>
          <w:rFonts w:ascii="Arial" w:cs="Arial" w:eastAsia="Arial" w:hAnsi="Arial"/>
          <w:color w:val="22303C"/>
          <w:sz w:val="21"/>
          <w:szCs w:val="21"/>
        </w:rPr>
        <w:t xml:space="preserve">Skipping 'do nothing' as an alternative, which is always an alternative.</w:t>
      </w:r>
    </w:p>
    <w:p>
      <w:pPr>
        <w:pStyle w:val="ListParagraph"/>
        <w:numPr>
          <w:ilvl w:val="0"/>
          <w:numId w:val="3"/>
        </w:numPr>
        <w:spacing w:after="90" w:line="288"/>
      </w:pPr>
      <w:r>
        <w:rPr>
          <w:rFonts w:ascii="Arial" w:cs="Arial" w:eastAsia="Arial" w:hAnsi="Arial"/>
          <w:color w:val="22303C"/>
          <w:sz w:val="21"/>
          <w:szCs w:val="21"/>
        </w:rPr>
        <w:t xml:space="preserve">Treating the memo as advocacy instead of analysis; councils learn which staff do which.</w:t>
      </w:r>
    </w:p>
    <w:p>
      <w:pPr>
        <w:keepNext/>
        <w:pBdr>
          <w:bottom w:val="single" w:color="C49A3C" w:sz="8" w:space="3"/>
        </w:pBdr>
        <w:spacing w:after="140" w:before="320"/>
      </w:pPr>
      <w:r>
        <w:rPr>
          <w:rFonts w:ascii="Arial" w:cs="Arial" w:eastAsia="Arial" w:hAnsi="Arial"/>
          <w:b/>
          <w:bCs/>
          <w:color w:val="1B3A52"/>
          <w:spacing w:val="20"/>
          <w:sz w:val="24"/>
          <w:szCs w:val="24"/>
        </w:rPr>
        <w:t xml:space="preserve">WHAT TO DO NEXT</w:t>
      </w:r>
    </w:p>
    <w:p>
      <w:pPr>
        <w:spacing w:after="120" w:line="300"/>
      </w:pPr>
      <w:r>
        <w:rPr>
          <w:rFonts w:ascii="Arial" w:cs="Arial" w:eastAsia="Arial" w:hAnsi="Arial"/>
          <w:color w:val="22303C"/>
          <w:sz w:val="21"/>
          <w:szCs w:val="21"/>
        </w:rPr>
        <w:t xml:space="preserve">Route the draft through manager and legal review before the agenda deadline, confirm the session type (open vs. executive) is right for the content, and file the final memo with the minutes — it is the record of what the governing body knew when it decided.</w:t>
      </w:r>
    </w:p>
    <w:p>
      <w:pPr>
        <w:spacing w:after="0" w:before="12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80" w:line="288"/>
            </w:pPr>
            <w:r>
              <w:rPr>
                <w:rFonts w:ascii="Arial" w:cs="Arial" w:eastAsia="Arial" w:hAnsi="Arial"/>
                <w:b/>
                <w:bCs/>
                <w:color w:val="1B3A52"/>
                <w:sz w:val="21"/>
                <w:szCs w:val="21"/>
              </w:rPr>
              <w:t xml:space="preserve">Before you terminate, deduct, discipline, classify, or respond, get the decision reviewed.</w:t>
            </w:r>
          </w:p>
          <w:p>
            <w:pPr>
              <w:spacing w:after="0"/>
            </w:pPr>
            <w:r>
              <w:rPr>
                <w:rFonts w:ascii="Arial" w:cs="Arial" w:eastAsia="Arial" w:hAnsi="Arial"/>
                <w:color w:val="22303C"/>
                <w:sz w:val="20"/>
                <w:szCs w:val="20"/>
              </w:rPr>
              <w:t xml:space="preserve">Call 210.446.8730 or email thomas@faulknerhrsolutions.info.</w:t>
            </w:r>
          </w:p>
        </w:tc>
      </w:tr>
    </w:tbl>
    <w:p>
      <w:pPr>
        <w:pageBreakBefore/>
        <w:spacing w:after="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0" w:line="300"/>
            </w:pPr>
            <w:r>
              <w:rPr>
                <w:rFonts w:ascii="Arial" w:cs="Arial" w:eastAsia="Arial" w:hAnsi="Arial"/>
                <w:b/>
                <w:bCs/>
                <w:i/>
                <w:iCs/>
                <w:color w:val="1B3A52"/>
                <w:sz w:val="21"/>
                <w:szCs w:val="21"/>
              </w:rPr>
              <w:t xml:space="preserve">Public-sector HR decisions have to survive more than internal disagreement. They have to survive records requests, council questions, budget scrutiny, and public trust.</w:t>
            </w:r>
          </w:p>
        </w:tc>
      </w:tr>
    </w:tbl>
    <w:p>
      <w:pPr>
        <w:spacing w:after="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C49A3C" w:sz="24"/>
              <w:bottom w:val="single" w:color="D8E0E8" w:sz="2"/>
              <w:right w:val="single" w:color="D8E0E8" w:sz="2"/>
            </w:tcBorders>
            <w:shd w:fill="FBF6EC" w:val="clear"/>
            <w:tcMar>
              <w:top w:type="dxa" w:w="140"/>
              <w:left w:type="dxa" w:w="180"/>
              <w:bottom w:type="dxa" w:w="140"/>
              <w:right w:type="dxa" w:w="180"/>
            </w:tcMar>
          </w:tcPr>
          <w:p>
            <w:pPr>
              <w:spacing w:after="140"/>
            </w:pPr>
            <w:r>
              <w:rPr>
                <w:rFonts w:ascii="Arial" w:cs="Arial" w:eastAsia="Arial" w:hAnsi="Arial"/>
                <w:b/>
                <w:bCs/>
                <w:color w:val="1B3A52"/>
                <w:sz w:val="28"/>
                <w:szCs w:val="28"/>
              </w:rPr>
              <w:t xml:space="preserve">Need help applying this to a real workplace decision?</w:t>
            </w:r>
          </w:p>
          <w:p>
            <w:pPr>
              <w:spacing w:after="120" w:line="300"/>
            </w:pPr>
            <w:r>
              <w:rPr>
                <w:rFonts w:ascii="Arial" w:cs="Arial" w:eastAsia="Arial" w:hAnsi="Arial"/>
                <w:color w:val="22303C"/>
                <w:sz w:val="21"/>
                <w:szCs w:val="21"/>
              </w:rPr>
              <w:t xml:space="preserve">Faulkner HR Solutions helps Texas employers, nonprofits, municipalities, and growing businesses fix the people systems behind recurring workplace problems.</w:t>
            </w:r>
          </w:p>
          <w:p>
            <w:pPr>
              <w:spacing w:after="160" w:line="300"/>
            </w:pPr>
            <w:r>
              <w:rPr>
                <w:rFonts w:ascii="Arial" w:cs="Arial" w:eastAsia="Arial" w:hAnsi="Arial"/>
                <w:b/>
                <w:bCs/>
                <w:color w:val="22303C"/>
                <w:sz w:val="21"/>
                <w:szCs w:val="21"/>
              </w:rPr>
              <w:t xml:space="preserve">If this document raised a risk flag, do not guess your way through the next step.</w:t>
            </w:r>
          </w:p>
          <w:p>
            <w:pPr>
              <w:spacing w:after="60"/>
            </w:pPr>
            <w:r>
              <w:rPr>
                <w:rFonts w:ascii="Arial" w:cs="Arial" w:eastAsia="Arial" w:hAnsi="Arial"/>
                <w:b/>
                <w:bCs/>
                <w:color w:val="1B3A52"/>
                <w:sz w:val="21"/>
                <w:szCs w:val="21"/>
              </w:rPr>
              <w:t xml:space="preserve">Call:  </w:t>
            </w:r>
            <w:r>
              <w:rPr>
                <w:rFonts w:ascii="Arial" w:cs="Arial" w:eastAsia="Arial" w:hAnsi="Arial"/>
                <w:b/>
                <w:bCs/>
                <w:color w:val="1B3A52"/>
                <w:sz w:val="24"/>
                <w:szCs w:val="24"/>
              </w:rPr>
              <w:t xml:space="preserve">210.446.8730</w:t>
            </w:r>
          </w:p>
          <w:p>
            <w:pPr>
              <w:spacing w:after="60"/>
            </w:pPr>
            <w:r>
              <w:rPr>
                <w:rFonts w:ascii="Arial" w:cs="Arial" w:eastAsia="Arial" w:hAnsi="Arial"/>
                <w:b/>
                <w:bCs/>
                <w:color w:val="1B3A52"/>
                <w:sz w:val="21"/>
                <w:szCs w:val="21"/>
              </w:rPr>
              <w:t xml:space="preserve">Email:  </w:t>
            </w:r>
            <w:r>
              <w:rPr>
                <w:rFonts w:ascii="Arial" w:cs="Arial" w:eastAsia="Arial" w:hAnsi="Arial"/>
                <w:color w:val="22303C"/>
                <w:sz w:val="22"/>
                <w:szCs w:val="22"/>
              </w:rPr>
              <w:t xml:space="preserve">thomas@faulknerhrsolutions.info</w:t>
            </w:r>
          </w:p>
          <w:p>
            <w:pPr>
              <w:spacing w:after="0"/>
            </w:pPr>
            <w:r>
              <w:rPr>
                <w:rFonts w:ascii="Arial" w:cs="Arial" w:eastAsia="Arial" w:hAnsi="Arial"/>
                <w:b/>
                <w:bCs/>
                <w:color w:val="1B3A52"/>
                <w:sz w:val="21"/>
                <w:szCs w:val="21"/>
              </w:rPr>
              <w:t xml:space="preserve">Website:  </w:t>
            </w:r>
            <w:r>
              <w:rPr>
                <w:rFonts w:ascii="Arial" w:cs="Arial" w:eastAsia="Arial" w:hAnsi="Arial"/>
                <w:color w:val="22303C"/>
                <w:sz w:val="22"/>
                <w:szCs w:val="22"/>
              </w:rPr>
              <w:t xml:space="preserve">faulknerhrsolutions.info</w:t>
            </w:r>
          </w:p>
        </w:tc>
      </w:tr>
    </w:tbl>
    <w:p>
      <w:pPr>
        <w:spacing w:after="100" w:before="300"/>
      </w:pPr>
      <w:r>
        <w:rPr>
          <w:rFonts w:ascii="Arial" w:cs="Arial" w:eastAsia="Arial" w:hAnsi="Arial"/>
          <w:b/>
          <w:bCs/>
          <w:color w:val="4A5A6A"/>
          <w:spacing w:val="20"/>
          <w:sz w:val="18"/>
          <w:szCs w:val="18"/>
        </w:rPr>
        <w:t xml:space="preserve">DISCLAIMER</w:t>
      </w:r>
    </w:p>
    <w:p>
      <w:pPr>
        <w:spacing w:after="0" w:line="276"/>
      </w:pPr>
      <w:r>
        <w:rPr>
          <w:rFonts w:ascii="Arial" w:cs="Arial" w:eastAsia="Arial" w:hAnsi="Arial"/>
          <w:color w:val="4A5A6A"/>
          <w:sz w:val="18"/>
          <w:szCs w:val="18"/>
        </w:rPr>
        <w:t xml:space="preserve">This resource is provided for general employer education and planning purposes. It is not legal advice and does not create an attorney-client relationship. Employment laws, agency guidance, and local requirements may change. Employers should review the facts of each situation before acting and consult appropriate HR or legal counsel when needed.</w:t>
      </w:r>
    </w:p>
    <w:sectPr>
      <w:headerReference w:type="default" r:id="rId7"/>
      <w:footerReference w:type="default" r:id="rId8"/>
      <w:pgSz w:w="12240" w:h="15840" w:orient="portrait"/>
      <w:pgMar w:top="1280" w:right="1080" w:bottom="11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8E0E8" w:sz="4" w:space="4"/>
      </w:pBdr>
      <w:spacing w:after="0" w:before="80"/>
      <w:jc w:val="center"/>
    </w:pPr>
    <w:r>
      <w:rPr>
        <w:rFonts w:ascii="Arial" w:cs="Arial" w:eastAsia="Arial" w:hAnsi="Arial"/>
        <w:color w:val="4A5A6A"/>
        <w:sz w:val="14"/>
        <w:szCs w:val="14"/>
      </w:rPr>
      <w:t xml:space="preserve">Faulkner HR Solutions | Council HR Decision Memo | Version 2026.1 | 210.446.8730 | thomas@faulknerhrsolutions.info | faulknerhrsolutions.info/resources/city-council-board-hr-decision-memo-template/ | Page </w:t>
    </w:r>
    <w:r>
      <w:rPr>
        <w:rFonts w:ascii="Arial" w:cs="Arial" w:eastAsia="Arial" w:hAnsi="Arial"/>
        <w:color w:val="4A5A6A"/>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B3A52" w:sz="10" w:space="4"/>
      </w:pBdr>
      <w:tabs>
        <w:tab w:val="right" w:pos="10080"/>
      </w:tabs>
      <w:spacing w:after="120"/>
    </w:pPr>
    <w:r>
      <w:drawing>
        <wp:inline distT="0" distB="0" distL="0" distR="0">
          <wp:extent cx="247650" cy="247650"/>
          <wp:effectExtent t="0" r="0" b="0" l="0"/>
          <wp:docPr id="1" name="FHRS logo" descr="Faulkner HR Solutions logo" title="Faulkner HR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247650" cy="247650"/>
                  </a:xfrm>
                  <a:prstGeom prst="rect">
                    <a:avLst/>
                  </a:prstGeom>
                </pic:spPr>
              </pic:pic>
            </a:graphicData>
          </a:graphic>
        </wp:inline>
      </w:drawing>
    </w:r>
    <w:r>
      <w:rPr>
        <w:rFonts w:ascii="Arial" w:cs="Arial" w:eastAsia="Arial" w:hAnsi="Arial"/>
        <w:b/>
        <w:bCs/>
        <w:color w:val="1B3A52"/>
        <w:spacing w:val="20"/>
        <w:sz w:val="19"/>
        <w:szCs w:val="19"/>
      </w:rPr>
      <w:t xml:space="preserve">  FAULKNER HR SOLUTIONS</w:t>
    </w:r>
    <w:r>
      <w:rPr>
        <w:rFonts w:ascii="Arial" w:cs="Arial" w:eastAsia="Arial" w:hAnsi="Arial"/>
        <w:b/>
        <w:bCs/>
        <w:color w:val="C49A3C"/>
        <w:spacing w:val="30"/>
        <w:sz w:val="18"/>
        <w:szCs w:val="18"/>
      </w:rPr>
      <w:t xml:space="preserve">	MUNICIPAL HR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60" w:hanging="260"/>
      </w:pPr>
    </w:lvl>
  </w:abstractNum>
  <w:abstractNum w:abstractNumId="3" w15:restartNumberingAfterBreak="0">
    <w:multiLevelType w:val="hybridMultilevel"/>
    <w:lvl w:ilvl="0" w15:tentative="1">
      <w:start w:val="1"/>
      <w:numFmt w:val="decimal"/>
      <w:lvlText w:val="%1."/>
      <w:lvlJc w:val="left"/>
      <w:pPr>
        <w:ind w:left="460" w:hanging="30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2303C"/>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62637c615e06f591d83d3816096da2235005184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Council / Board HR Decision Memo Template</dc:title>
  <dc:creator>Faulkner HR Solutions</dc:creator>
  <dc:description>Put HR decisions in front of council or board the right way: issue, recommendation, fiscal impact, risk, alternatives, and the ask.</dc:description>
  <cp:lastModifiedBy>Un-named</cp:lastModifiedBy>
  <cp:revision>1</cp:revision>
  <dcterms:created xsi:type="dcterms:W3CDTF">2026-07-04T08:16:06.514Z</dcterms:created>
  <dcterms:modified xsi:type="dcterms:W3CDTF">2026-07-04T08:16:06.514Z</dcterms:modified>
</cp:coreProperties>
</file>

<file path=docProps/custom.xml><?xml version="1.0" encoding="utf-8"?>
<Properties xmlns="http://schemas.openxmlformats.org/officeDocument/2006/custom-properties" xmlns:vt="http://schemas.openxmlformats.org/officeDocument/2006/docPropsVTypes"/>
</file>