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GOVERNANCE TOOL  |  JURISDICTION: NONPROFIT  |  VERSION 2026.1</w:t>
      </w:r>
    </w:p>
    <w:p>
      <w:pPr>
        <w:spacing w:after="120"/>
      </w:pPr>
      <w:r>
        <w:rPr>
          <w:rFonts w:ascii="Arial" w:cs="Arial" w:eastAsia="Arial" w:hAnsi="Arial"/>
          <w:b/>
          <w:bCs/>
          <w:color w:val="1B3A52"/>
          <w:sz w:val="44"/>
          <w:szCs w:val="44"/>
        </w:rPr>
        <w:t xml:space="preserve">Board / Executive Director Authority Matrix</w:t>
      </w:r>
    </w:p>
    <w:p>
      <w:pPr>
        <w:spacing w:after="200" w:line="300"/>
      </w:pPr>
      <w:r>
        <w:rPr>
          <w:rFonts w:ascii="Arial" w:cs="Arial" w:eastAsia="Arial" w:hAnsi="Arial"/>
          <w:i/>
          <w:iCs/>
          <w:color w:val="4A5A6A"/>
          <w:sz w:val="22"/>
          <w:szCs w:val="22"/>
        </w:rPr>
        <w:t xml:space="preserve">Who decides what: decision rights, spending limits, hiring and firing authority, and the escalation path — on one page.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matrix to settle, in writing, which decisions belong to the board, which belong to the executive director, and which require both — before the next collision costs a staff member or an 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 board member last week directed a staff member directly</w:t>
      </w:r>
    </w:p>
    <w:p>
      <w:pPr>
        <w:pStyle w:val="ListParagraph"/>
        <w:numPr>
          <w:ilvl w:val="0"/>
          <w:numId w:val="2"/>
        </w:numPr>
        <w:spacing w:after="80" w:line="288"/>
      </w:pPr>
      <w:r>
        <w:rPr>
          <w:rFonts w:ascii="Arial" w:cs="Arial" w:eastAsia="Arial" w:hAnsi="Arial"/>
          <w:color w:val="22303C"/>
          <w:sz w:val="21"/>
          <w:szCs w:val="21"/>
        </w:rPr>
        <w:t xml:space="preserve">At every ED transition, before the new ED starts</w:t>
      </w:r>
    </w:p>
    <w:p>
      <w:pPr>
        <w:pStyle w:val="ListParagraph"/>
        <w:numPr>
          <w:ilvl w:val="0"/>
          <w:numId w:val="2"/>
        </w:numPr>
        <w:spacing w:after="80" w:line="288"/>
      </w:pPr>
      <w:r>
        <w:rPr>
          <w:rFonts w:ascii="Arial" w:cs="Arial" w:eastAsia="Arial" w:hAnsi="Arial"/>
          <w:color w:val="22303C"/>
          <w:sz w:val="21"/>
          <w:szCs w:val="21"/>
        </w:rPr>
        <w:t xml:space="preserve">When spending approvals are inconsistent or improvised</w:t>
      </w:r>
    </w:p>
    <w:p>
      <w:pPr>
        <w:pStyle w:val="ListParagraph"/>
        <w:numPr>
          <w:ilvl w:val="0"/>
          <w:numId w:val="2"/>
        </w:numPr>
        <w:spacing w:after="80" w:line="288"/>
      </w:pPr>
      <w:r>
        <w:rPr>
          <w:rFonts w:ascii="Arial" w:cs="Arial" w:eastAsia="Arial" w:hAnsi="Arial"/>
          <w:color w:val="22303C"/>
          <w:sz w:val="21"/>
          <w:szCs w:val="21"/>
        </w:rPr>
        <w:t xml:space="preserve">After a governance conflict, while motivation is high</w:t>
      </w:r>
    </w:p>
    <w:p>
      <w:pPr>
        <w:pStyle w:val="ListParagraph"/>
        <w:numPr>
          <w:ilvl w:val="0"/>
          <w:numId w:val="2"/>
        </w:numPr>
        <w:spacing w:after="80" w:line="288"/>
      </w:pPr>
      <w:r>
        <w:rPr>
          <w:rFonts w:ascii="Arial" w:cs="Arial" w:eastAsia="Arial" w:hAnsi="Arial"/>
          <w:color w:val="22303C"/>
          <w:sz w:val="21"/>
          <w:szCs w:val="21"/>
        </w:rPr>
        <w:t xml:space="preserve">During strategic planning or bylaws review</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Board members managing staff and staff triangulating the board</w:t>
      </w:r>
    </w:p>
    <w:p>
      <w:pPr>
        <w:pStyle w:val="ListParagraph"/>
        <w:numPr>
          <w:ilvl w:val="0"/>
          <w:numId w:val="2"/>
        </w:numPr>
        <w:spacing w:after="80" w:line="288"/>
      </w:pPr>
      <w:r>
        <w:rPr>
          <w:rFonts w:ascii="Arial" w:cs="Arial" w:eastAsia="Arial" w:hAnsi="Arial"/>
          <w:color w:val="22303C"/>
          <w:sz w:val="21"/>
          <w:szCs w:val="21"/>
        </w:rPr>
        <w:t xml:space="preserve">EDs making board-level commitments without authority</w:t>
      </w:r>
    </w:p>
    <w:p>
      <w:pPr>
        <w:pStyle w:val="ListParagraph"/>
        <w:numPr>
          <w:ilvl w:val="0"/>
          <w:numId w:val="2"/>
        </w:numPr>
        <w:spacing w:after="80" w:line="288"/>
      </w:pPr>
      <w:r>
        <w:rPr>
          <w:rFonts w:ascii="Arial" w:cs="Arial" w:eastAsia="Arial" w:hAnsi="Arial"/>
          <w:color w:val="22303C"/>
          <w:sz w:val="21"/>
          <w:szCs w:val="21"/>
        </w:rPr>
        <w:t xml:space="preserve">Spending disputes with no written thresholds</w:t>
      </w:r>
    </w:p>
    <w:p>
      <w:pPr>
        <w:pStyle w:val="ListParagraph"/>
        <w:numPr>
          <w:ilvl w:val="0"/>
          <w:numId w:val="2"/>
        </w:numPr>
        <w:spacing w:after="80" w:line="288"/>
      </w:pPr>
      <w:r>
        <w:rPr>
          <w:rFonts w:ascii="Arial" w:cs="Arial" w:eastAsia="Arial" w:hAnsi="Arial"/>
          <w:color w:val="22303C"/>
          <w:sz w:val="21"/>
          <w:szCs w:val="21"/>
        </w:rPr>
        <w:t xml:space="preserve">Founder-board standoffs that consume entire organizations</w:t>
      </w:r>
    </w:p>
    <w:p>
      <w:pPr>
        <w:pStyle w:val="ListParagraph"/>
        <w:numPr>
          <w:ilvl w:val="0"/>
          <w:numId w:val="2"/>
        </w:numPr>
        <w:spacing w:after="80" w:line="288"/>
      </w:pPr>
      <w:r>
        <w:rPr>
          <w:rFonts w:ascii="Arial" w:cs="Arial" w:eastAsia="Arial" w:hAnsi="Arial"/>
          <w:color w:val="22303C"/>
          <w:sz w:val="21"/>
          <w:szCs w:val="21"/>
        </w:rPr>
        <w:t xml:space="preserve">Staff terminations tangled in board politics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AUTHORITY MATRIX</w:t>
      </w:r>
    </w:p>
    <w:p>
      <w:pPr>
        <w:spacing w:after="160" w:line="288"/>
      </w:pPr>
      <w:r>
        <w:rPr>
          <w:rFonts w:ascii="Arial" w:cs="Arial" w:eastAsia="Arial" w:hAnsi="Arial"/>
          <w:color w:val="4A5A6A"/>
          <w:sz w:val="20"/>
          <w:szCs w:val="20"/>
        </w:rPr>
        <w:t xml:space="preserve">For each decision, mark: B (board decides), E (ED decides), B/E (ED recommends, board approves), or E→B (ED decides, informs board). Fill the thresholds. Then adopt it by board action so it binds.</w:t>
      </w:r>
    </w:p>
    <w:p>
      <w:pPr>
        <w:keepNext/>
        <w:spacing w:after="100" w:before="220"/>
      </w:pPr>
      <w:r>
        <w:rPr>
          <w:rFonts w:ascii="Arial" w:cs="Arial" w:eastAsia="Arial" w:hAnsi="Arial"/>
          <w:b/>
          <w:bCs/>
          <w:color w:val="1B3A52"/>
          <w:sz w:val="22"/>
          <w:szCs w:val="22"/>
        </w:rPr>
        <w:t xml:space="preserve">Section 1 — People Decisions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2620"/>
        <w:gridCol w:w="2420"/>
      </w:tblGrid>
      <w:tr>
        <w:trPr>
          <w:tblHeader/>
        </w:trPr>
        <w:tc>
          <w:tcPr>
            <w:tcW w:type="dxa" w:w="50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 (B / E / B-E / E→B)</w:t>
            </w:r>
          </w:p>
        </w:tc>
        <w:tc>
          <w:tcPr>
            <w:tcW w:type="dxa" w:w="24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threshold</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Hire / evaluate / terminate the ED</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Hire staff within approved budget</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Terminate staff</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Set individual staff compensation within ranges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Adopt/change pay ranges or benefits plans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Approve personnel policies / handbook</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Discipline below termination</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Engage HR/legal counsel for personnel matters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2 — Money Decisions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2620"/>
        <w:gridCol w:w="2420"/>
      </w:tblGrid>
      <w:tr>
        <w:trPr>
          <w:tblHeader/>
        </w:trPr>
        <w:tc>
          <w:tcPr>
            <w:tcW w:type="dxa" w:w="50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w:t>
            </w:r>
          </w:p>
        </w:tc>
        <w:tc>
          <w:tcPr>
            <w:tcW w:type="dxa" w:w="24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Threshold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Approve annual budget</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Spend within budget, per transaction</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Up to $____</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Unbudgeted spending</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 up to $____; board above</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Sign contracts / leases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 up to $____ and ____ months</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Accept grants with new obligations (match, hires, programs)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Open accounts / change signatories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Borrow or pledge assets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3 — Program and External Decisions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2620"/>
        <w:gridCol w:w="2420"/>
      </w:tblGrid>
      <w:tr>
        <w:trPr>
          <w:tblHeader/>
        </w:trPr>
        <w:tc>
          <w:tcPr>
            <w:tcW w:type="dxa" w:w="50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w:t>
            </w:r>
          </w:p>
        </w:tc>
        <w:tc>
          <w:tcPr>
            <w:tcW w:type="dxa" w:w="24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Start / end programs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Mission, bylaws, strategic plan changes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Public statements / media on controversy</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Partnerships and MOUs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Litigation decisions</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w:t>
            </w:r>
          </w:p>
        </w:tc>
        <w:tc>
          <w:tcPr>
            <w:tcW w:type="dxa" w:w="24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4 — Communication Rules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Adopted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Rule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members do not direct, evaluate, or task staff; requests route through the 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Staff concerns about the ED go to the board chair through a written path — not through friendly board members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chair speaks for the board between meetings; individual members don't commit the board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ED informs the board of material risks between meetings (define 'material')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Committee chairs may request staff SUPPORT per charter — not assign staff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5 — Escalation Path</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3024"/>
        <w:gridCol w:w="3024"/>
      </w:tblGrid>
      <w:tr>
        <w:trPr>
          <w:tblHeader/>
        </w:trPr>
        <w:tc>
          <w:tcPr>
            <w:tcW w:type="dxa" w:w="403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Conflict</w:t>
            </w:r>
          </w:p>
        </w:tc>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First step</w:t>
            </w:r>
          </w:p>
        </w:tc>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If unresolved</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ED and board member disagree on authority</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Check this matrix; chair arbitrates</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Full board decides; matrix amended</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Staff complaint about the ED</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path to chair; documented</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Board-directed review / outside investigator</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member contacts staff directly (again)</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Chair reminder, same week</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discussion; governance policy enforcement</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Spending dispute</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Matrix thresholds control</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finance committee ruling</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Adoption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Adopted by board action on (date, motion reference)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 cycle (annually, and at every ED or chair transition)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Distribution (every board member, ED, leadership staff)</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Board chair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Executive director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board member is currently supervising, tasking, or evaluating a staff member.</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ED signed a lease, loan, or major grant the board learned about afterward.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Staff have discovered which board members will overrule the 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founder holds an undefined role that outranks the org chart.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Spending limits exist in someone's memory of a 2019 motion.</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ED's evaluation is overdue by more than a year.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Writing the matrix but never adopting it by board action, leaving it aspirational.</w:t>
      </w:r>
    </w:p>
    <w:p>
      <w:pPr>
        <w:pStyle w:val="ListParagraph"/>
        <w:numPr>
          <w:ilvl w:val="0"/>
          <w:numId w:val="3"/>
        </w:numPr>
        <w:spacing w:after="90" w:line="288"/>
      </w:pPr>
      <w:r>
        <w:rPr>
          <w:rFonts w:ascii="Arial" w:cs="Arial" w:eastAsia="Arial" w:hAnsi="Arial"/>
          <w:color w:val="22303C"/>
          <w:sz w:val="21"/>
          <w:szCs w:val="21"/>
        </w:rPr>
        <w:t xml:space="preserve">Setting spending thresholds so low the board becomes a purchasing department.</w:t>
      </w:r>
    </w:p>
    <w:p>
      <w:pPr>
        <w:pStyle w:val="ListParagraph"/>
        <w:numPr>
          <w:ilvl w:val="0"/>
          <w:numId w:val="3"/>
        </w:numPr>
        <w:spacing w:after="90" w:line="288"/>
      </w:pPr>
      <w:r>
        <w:rPr>
          <w:rFonts w:ascii="Arial" w:cs="Arial" w:eastAsia="Arial" w:hAnsi="Arial"/>
          <w:color w:val="22303C"/>
          <w:sz w:val="21"/>
          <w:szCs w:val="21"/>
        </w:rPr>
        <w:t xml:space="preserve">Letting 'the board hires the ED' quietly become 'the board approves every hire.'</w:t>
      </w:r>
    </w:p>
    <w:p>
      <w:pPr>
        <w:pStyle w:val="ListParagraph"/>
        <w:numPr>
          <w:ilvl w:val="0"/>
          <w:numId w:val="3"/>
        </w:numPr>
        <w:spacing w:after="90" w:line="288"/>
      </w:pPr>
      <w:r>
        <w:rPr>
          <w:rFonts w:ascii="Arial" w:cs="Arial" w:eastAsia="Arial" w:hAnsi="Arial"/>
          <w:color w:val="22303C"/>
          <w:sz w:val="21"/>
          <w:szCs w:val="21"/>
        </w:rPr>
        <w:t xml:space="preserve">Building no written path for staff complaints about the ED — so they route through gossip.</w:t>
      </w:r>
    </w:p>
    <w:p>
      <w:pPr>
        <w:pStyle w:val="ListParagraph"/>
        <w:numPr>
          <w:ilvl w:val="0"/>
          <w:numId w:val="3"/>
        </w:numPr>
        <w:spacing w:after="90" w:line="288"/>
      </w:pPr>
      <w:r>
        <w:rPr>
          <w:rFonts w:ascii="Arial" w:cs="Arial" w:eastAsia="Arial" w:hAnsi="Arial"/>
          <w:color w:val="22303C"/>
          <w:sz w:val="21"/>
          <w:szCs w:val="21"/>
        </w:rPr>
        <w:t xml:space="preserve">Treating founder authority as unmappable; that's the map you need most.</w:t>
      </w:r>
    </w:p>
    <w:p>
      <w:pPr>
        <w:pStyle w:val="ListParagraph"/>
        <w:numPr>
          <w:ilvl w:val="0"/>
          <w:numId w:val="3"/>
        </w:numPr>
        <w:spacing w:after="90" w:line="288"/>
      </w:pPr>
      <w:r>
        <w:rPr>
          <w:rFonts w:ascii="Arial" w:cs="Arial" w:eastAsia="Arial" w:hAnsi="Arial"/>
          <w:color w:val="22303C"/>
          <w:sz w:val="21"/>
          <w:szCs w:val="21"/>
        </w:rPr>
        <w:t xml:space="preserve">Filing the matrix instead of using it at the first violation.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Draft the matrix with the ED and chair together, adopt it by board motion, and put it in every board orientation packet. Enforce it gently and immediately at the first violation — the second violation is a pattern, and patterns become the culture.</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Mission does not replace infrastructure. If the same people problem keeps coming back, the system needs to be rebuilt.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Board / ED Authority Matrix | Version 2026.1 | 210.446.8730 | thomas@faulknerhrsolutions.info | faulknerhrsolutions.info/resources/board-executive-director-authority-matrix/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NONPROFIT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 Executive Director Authority Matrix</dc:title>
  <dc:creator>Faulkner HR Solutions</dc:creator>
  <dc:description>Who decides what: decision rights, spending limits, hiring and firing authority, and the escalation path — on one page.</dc:description>
  <cp:lastModifiedBy>Un-named</cp:lastModifiedBy>
  <cp:revision>1</cp:revision>
  <dcterms:created xsi:type="dcterms:W3CDTF">2026-07-04T08:16:06.961Z</dcterms:created>
  <dcterms:modified xsi:type="dcterms:W3CDTF">2026-07-04T08:16:06.961Z</dcterms:modified>
</cp:coreProperties>
</file>

<file path=docProps/custom.xml><?xml version="1.0" encoding="utf-8"?>
<Properties xmlns="http://schemas.openxmlformats.org/officeDocument/2006/custom-properties" xmlns:vt="http://schemas.openxmlformats.org/officeDocument/2006/docPropsVTypes"/>
</file>